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84" w:rsidRPr="00D53C3B" w:rsidRDefault="00E30784" w:rsidP="00E30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положения  Единой учетной политики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централизации учета</w:t>
      </w:r>
      <w:r w:rsidRPr="00F83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муниципальным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казенным и бюджетным</w:t>
      </w: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сформированные муниципальным казенным учреждением «Централизованная бухгалтерия муниципальных учреждений городского округа «Город Чита» </w:t>
      </w:r>
      <w:r w:rsidRPr="00D53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публичного раскрытия на официальном сайте комитета образования администрации городского округа «Город Чита»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3C3B" w:rsidRPr="00D53C3B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Cs w:val="26"/>
          <w:lang w:eastAsia="ru-RU"/>
        </w:rPr>
      </w:pPr>
    </w:p>
    <w:p w:rsidR="00D53C3B" w:rsidRPr="00D53C3B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1-c8082797e1ee4d"/>
      <w:r w:rsidRPr="00D5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положения разработаны в соответствии с требованиями следующих документов:</w:t>
      </w:r>
      <w:bookmarkEnd w:id="0"/>
    </w:p>
    <w:p w:rsidR="00C84D7F" w:rsidRPr="00C84D7F" w:rsidRDefault="00FC136B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C1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84D7F"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Инструкции к Единому плану счетов № 157н);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16.12.2010 № 174н «Об утверждении Плана счетов бухгалтерского учета бюджетных учреждений и Инструкции по его применению» (далее – Инструкция № 174н);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23.12.2010 № 183н «Об утверждении Плана счетов бухгалтерского учета автономных учреждений и Инструкции по его применению» (далее – Инструкция № 183н);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29.11.2017 № 209н «Об утверждении </w:t>
      </w:r>
      <w:proofErr w:type="gramStart"/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применения классификации операций сектора государственного</w:t>
      </w:r>
      <w:proofErr w:type="gramEnd"/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управления» (далее – приказ № 209н);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:rsidR="00C84D7F" w:rsidRP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(далее — приказ № 61н);</w:t>
      </w:r>
    </w:p>
    <w:p w:rsidR="00C84D7F" w:rsidRDefault="00C84D7F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федеральными стандартами бухгалтерского учета государственных финансов, утвержденными приказами Минфина от 31.12.2016 № 256н, № 257н, № 258н, № 259н, № 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 №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№ 182н, № 183н, № 184н (далее – соответственно СГС «Нематериальные активы», СГС</w:t>
      </w:r>
      <w:proofErr w:type="gramEnd"/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Затраты по заимствованиям», «Совместная деятельность», «Выплаты персоналу»), от 30.06.2020 № 129н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СГС «Финансовые инструменты»).</w:t>
      </w:r>
      <w:r w:rsidRPr="00C84D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BA69CB" w:rsidRDefault="00BA69CB" w:rsidP="00C84D7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A69CB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документами Единой учетной политики централизованного бухгалтерского учета муниципального казенного учреждения «Централизованная бухгалтерия муниципальных учреждений городского округа «Город Чита» (далее – Централизованная бухгалтерия), регулирующими вопросы организации ведения бухгалтерского (бюджетного) учета, включая ежегодные приказы муниципальных казенных и бюджетных учреждений:</w:t>
      </w:r>
    </w:p>
    <w:p w:rsidR="00C75BFE" w:rsidRPr="00C75BFE" w:rsidRDefault="00C75BFE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«О проведении инвентаризации объектов бухгалтерского (бюджетного) учета </w:t>
      </w:r>
      <w:proofErr w:type="gramStart"/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казенных и бюджетных учреждений»;</w:t>
      </w:r>
    </w:p>
    <w:p w:rsidR="00C75BFE" w:rsidRPr="00C75BFE" w:rsidRDefault="00C75BFE" w:rsidP="00C75BFE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>Бухгалтерский (бюджетный) учет Централизованной бухгалтерии  осуществляется с учетом следующих основных положений:</w:t>
      </w:r>
    </w:p>
    <w:p w:rsidR="00C75BFE" w:rsidRPr="00C75BFE" w:rsidRDefault="00C75BFE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Единая учетная политика сформирована  Централизованной бухгалтерией в целях централизации бухгалтерского (бюджетного) учета в  отношении субъектов учета, с которыми заключены соглашения на оказание услуг по ведению бухгалтерского (бюджетного) учета (далее - Учреждения).</w:t>
      </w:r>
    </w:p>
    <w:p w:rsidR="00C75BFE" w:rsidRPr="00C75BFE" w:rsidRDefault="00C75BFE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учетная политика является обязательной для применения всеми Учреждениями, передавшими полномочия по ведению централизованного учета.</w:t>
      </w:r>
    </w:p>
    <w:p w:rsidR="00C75BFE" w:rsidRDefault="00AD45E0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BFE"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>-  при оформлении фактов хозяйственной жизни применяются  унифицированные формы первичных учетных документов, в соответствии с приказом Минфина России N 52н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5BFE"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D45E0" w:rsidRPr="00C75BFE" w:rsidRDefault="00AD45E0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при оформлении фактов хозяйственной жизни применяются унифицированные формы электронных документов, в соответствии с приказом Минфина России №61н;</w:t>
      </w:r>
    </w:p>
    <w:p w:rsidR="00C75BFE" w:rsidRPr="00C75BFE" w:rsidRDefault="00C75BFE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оформлении фактов хозяйственной жизни, по которым не предусмотрены  типовые формы первичных учетных документов, применяются самостоятельно разработанные формы документов, содержащие обязательные реквизиты, указанные в Законе №402-ФЗ, СГС «Концептуальные основы» (Приложение №2 к Единой учетной политике);</w:t>
      </w:r>
    </w:p>
    <w:p w:rsidR="00C75BFE" w:rsidRDefault="00C75BFE" w:rsidP="00C75BF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BFE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рабочий план счетов бухгалтерского (бюджетного) учета в Учреждениях разработан в соответствии с Инструкциями №157н; 162н и 174н (Приложение №1 к Единой учетной политике).</w:t>
      </w:r>
    </w:p>
    <w:p w:rsidR="004C2B19" w:rsidRDefault="00EB1940" w:rsidP="006A72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 w:rsidR="00CE60A5" w:rsidRPr="00CE60A5">
        <w:rPr>
          <w:rFonts w:ascii="Times New Roman" w:hAnsi="Times New Roman" w:cs="Times New Roman"/>
          <w:sz w:val="24"/>
          <w:szCs w:val="24"/>
        </w:rPr>
        <w:t> </w:t>
      </w:r>
      <w:r w:rsidRPr="00EB1940">
        <w:rPr>
          <w:rFonts w:ascii="Times New Roman" w:hAnsi="Times New Roman" w:cs="Times New Roman"/>
          <w:sz w:val="24"/>
          <w:szCs w:val="24"/>
        </w:rPr>
        <w:t>- бухгалтерский (бюджетный) учет ведется в электронном виде с использованием программ автоматизации бухгалтерского учета;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81"/>
      </w:tblGrid>
      <w:tr w:rsidR="004C2B19" w:rsidRPr="00D851FF" w:rsidTr="006E79F2">
        <w:trPr>
          <w:trHeight w:val="243"/>
        </w:trPr>
        <w:tc>
          <w:tcPr>
            <w:tcW w:w="436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6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</w:t>
            </w:r>
            <w:r w:rsidRPr="00D8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раздела учета </w:t>
            </w:r>
          </w:p>
        </w:tc>
        <w:tc>
          <w:tcPr>
            <w:tcW w:w="528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программного продукта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Бухгалтерский учет </w:t>
            </w:r>
          </w:p>
        </w:tc>
        <w:tc>
          <w:tcPr>
            <w:tcW w:w="528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 Предприятия 8.3.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Налоговый учет </w:t>
            </w:r>
          </w:p>
        </w:tc>
        <w:tc>
          <w:tcPr>
            <w:tcW w:w="5281" w:type="dxa"/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 Предприятия 8.3.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Расчеты с персоналом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1С: Зарплата и кадры 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 доходов и расходов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АЦК-Финансы </w:t>
            </w:r>
          </w:p>
        </w:tc>
      </w:tr>
      <w:tr w:rsidR="004C2B19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отчетности в контролирующие органы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19" w:rsidRPr="00D851FF" w:rsidRDefault="004C2B19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ПП «Контур-Экстерн», Свод СМАРТ.</w:t>
            </w:r>
          </w:p>
        </w:tc>
      </w:tr>
      <w:tr w:rsidR="00582CCC" w:rsidRPr="00D851FF" w:rsidTr="006E79F2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C" w:rsidRPr="00582CCC" w:rsidRDefault="00582CC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о деятельности учреждения на официальном сайте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CC" w:rsidRPr="00D851FF" w:rsidRDefault="00582CCC" w:rsidP="006E7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CC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bus.gov.ru</w:t>
            </w:r>
          </w:p>
        </w:tc>
      </w:tr>
    </w:tbl>
    <w:p w:rsidR="00EB1940" w:rsidRPr="00EB1940" w:rsidRDefault="007C5CB1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1940" w:rsidRPr="00EB1940">
        <w:rPr>
          <w:rFonts w:ascii="Times New Roman" w:hAnsi="Times New Roman" w:cs="Times New Roman"/>
          <w:sz w:val="24"/>
          <w:szCs w:val="24"/>
        </w:rPr>
        <w:t xml:space="preserve">      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- электронный документооборот ведется с использованием телекоммуникационных каналов связи и электронной подписи по следующим направлениям: 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система электронного документооборота с управлением Федерального казначейства по Забайкальскому краю и отделом казначейского исполнения бюджета комитета по финансам администрации городского округа «Город Чита»;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передача отчетности по налогам, сборам и иным обязательным платежам в налоговые органы, органы управления государственными внебюджетными фондами Российской Федерации;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передача статистической отчетности в органы государственной статистики;</w:t>
      </w:r>
    </w:p>
    <w:p w:rsid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- первичный учетный документ принимается к учету при условии отражения в нем всех обязательных реквизитов и при наличии на документе подписи руководителя учреждения или уполномоченных им на то лиц.</w:t>
      </w:r>
    </w:p>
    <w:p w:rsidR="001E5230" w:rsidRDefault="001E523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E5230">
        <w:rPr>
          <w:rFonts w:ascii="Times New Roman" w:hAnsi="Times New Roman" w:cs="Times New Roman"/>
          <w:sz w:val="24"/>
          <w:szCs w:val="24"/>
        </w:rPr>
        <w:t>В Учреждении, применяется комплексный способ ввода (вывода) учетной информации: в виде электронного документа, подписанного электронной подписью, и (или) на бумажных носителях.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230" w:rsidRPr="001E5230" w:rsidRDefault="001E5230" w:rsidP="001E523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230">
        <w:rPr>
          <w:rFonts w:ascii="Times New Roman" w:hAnsi="Times New Roman" w:cs="Times New Roman"/>
          <w:bCs/>
          <w:sz w:val="24"/>
          <w:szCs w:val="24"/>
        </w:rPr>
        <w:t>Перечень документов, составляемых в виде электронного документа</w:t>
      </w:r>
      <w:r w:rsidR="00AA0DBD">
        <w:rPr>
          <w:rFonts w:ascii="Times New Roman" w:hAnsi="Times New Roman" w:cs="Times New Roman"/>
          <w:bCs/>
          <w:sz w:val="24"/>
          <w:szCs w:val="24"/>
        </w:rPr>
        <w:t xml:space="preserve"> или скан - копии.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3827"/>
        <w:gridCol w:w="1559"/>
        <w:gridCol w:w="2301"/>
      </w:tblGrid>
      <w:tr w:rsidR="001E5230" w:rsidRPr="001E5230" w:rsidTr="007E3C60">
        <w:trPr>
          <w:trHeight w:val="240"/>
        </w:trPr>
        <w:tc>
          <w:tcPr>
            <w:tcW w:w="534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34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формы </w:t>
            </w:r>
          </w:p>
        </w:tc>
        <w:tc>
          <w:tcPr>
            <w:tcW w:w="3827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документа / регистра </w:t>
            </w:r>
          </w:p>
        </w:tc>
        <w:tc>
          <w:tcPr>
            <w:tcW w:w="1559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Способ подписания </w:t>
            </w:r>
          </w:p>
        </w:tc>
        <w:tc>
          <w:tcPr>
            <w:tcW w:w="2301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способ хранения </w:t>
            </w:r>
          </w:p>
        </w:tc>
      </w:tr>
      <w:tr w:rsidR="001E5230" w:rsidRPr="001E5230" w:rsidTr="007E3C60">
        <w:trPr>
          <w:trHeight w:val="223"/>
        </w:trPr>
        <w:tc>
          <w:tcPr>
            <w:tcW w:w="534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0401060 </w:t>
            </w:r>
          </w:p>
        </w:tc>
        <w:tc>
          <w:tcPr>
            <w:tcW w:w="3827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1559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ЭЦП </w:t>
            </w:r>
          </w:p>
        </w:tc>
        <w:tc>
          <w:tcPr>
            <w:tcW w:w="2301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</w:t>
            </w:r>
          </w:p>
        </w:tc>
      </w:tr>
      <w:tr w:rsidR="001E5230" w:rsidRPr="001E5230" w:rsidTr="007E3C60">
        <w:trPr>
          <w:trHeight w:val="222"/>
        </w:trPr>
        <w:tc>
          <w:tcPr>
            <w:tcW w:w="534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Выписка </w:t>
            </w:r>
          </w:p>
        </w:tc>
        <w:tc>
          <w:tcPr>
            <w:tcW w:w="1559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ЭЦП </w:t>
            </w:r>
          </w:p>
        </w:tc>
        <w:tc>
          <w:tcPr>
            <w:tcW w:w="2301" w:type="dxa"/>
          </w:tcPr>
          <w:p w:rsidR="001E5230" w:rsidRPr="001E5230" w:rsidRDefault="001E5230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носитель </w:t>
            </w: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0510433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Акт о консервации (</w:t>
            </w:r>
            <w:proofErr w:type="spellStart"/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) объекта основных средств</w:t>
            </w:r>
          </w:p>
        </w:tc>
        <w:tc>
          <w:tcPr>
            <w:tcW w:w="1559" w:type="dxa"/>
            <w:vMerge w:val="restart"/>
          </w:tcPr>
          <w:p w:rsidR="00AC1612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12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12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12">
              <w:rPr>
                <w:rFonts w:ascii="Times New Roman" w:hAnsi="Times New Roman" w:cs="Times New Roman"/>
                <w:sz w:val="24"/>
                <w:szCs w:val="24"/>
              </w:rPr>
              <w:t>Простые или квалифицированные ЭП сотрудников по решению учреждения в случаях, не противоречащих закону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  <w:vMerge w:val="restart"/>
          </w:tcPr>
          <w:p w:rsidR="00F75D4C" w:rsidRPr="00F75D4C" w:rsidRDefault="00F75D4C" w:rsidP="00F75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r w:rsidRPr="00F75D4C">
              <w:rPr>
                <w:rFonts w:ascii="Times New Roman" w:hAnsi="Times New Roman" w:cs="Times New Roman"/>
                <w:sz w:val="24"/>
                <w:szCs w:val="24"/>
              </w:rPr>
              <w:t xml:space="preserve">на сервере ежедневно производится сохранение </w:t>
            </w:r>
            <w:r w:rsidRPr="00F75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резервных копий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1С: Предприятия</w:t>
            </w:r>
            <w:r w:rsidR="000D6F48">
              <w:rPr>
                <w:rFonts w:ascii="Times New Roman" w:hAnsi="Times New Roman" w:cs="Times New Roman"/>
                <w:sz w:val="24"/>
                <w:szCs w:val="24"/>
              </w:rPr>
              <w:t xml:space="preserve"> 8.3</w:t>
            </w:r>
            <w:r w:rsidRPr="00F75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612" w:rsidRPr="001E5230" w:rsidRDefault="00F75D4C" w:rsidP="00F75D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75D4C">
              <w:rPr>
                <w:rFonts w:ascii="Times New Roman" w:hAnsi="Times New Roman" w:cs="Times New Roman"/>
                <w:sz w:val="24"/>
                <w:szCs w:val="24"/>
              </w:rPr>
              <w:t>по итогам отчетного года после сдачи отчетности производится запись копии базы данных на внешний носитель – CD-диск, который хранится в сейфе главного бухгалтера централизованной бухгалтерии;</w:t>
            </w: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0510434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приема-передачи объектов, </w:t>
            </w:r>
            <w:r w:rsidRPr="001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в личное пользование.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0510435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Акт об утилизации (уничтожения) материальных ценностей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0510436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Акт о признании безнадежной к взысканию задолженности по доходам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0510437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Решение о списании задолженности, невостребованной кредиторами, со счета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0510439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инвентаризации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0510440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Решение о прекращении признания активами объектов нефинансовых активов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0510441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Решение о признании объектов нефинансовых активов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0510445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Решение о признании (восстановлении) сомнительной задолженности по доходам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0510446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Решение о восстановлении кредиторской задолженности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0510447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Изменение Решения о проведении инвентаризации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0510836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Акт о результатах инвентаризации наличных денежных средств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0509213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по </w:t>
            </w:r>
            <w:proofErr w:type="spellStart"/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забалансовому</w:t>
            </w:r>
            <w:proofErr w:type="spellEnd"/>
            <w:r w:rsidRPr="001E5230">
              <w:rPr>
                <w:rFonts w:ascii="Times New Roman" w:hAnsi="Times New Roman" w:cs="Times New Roman"/>
                <w:sz w:val="24"/>
                <w:szCs w:val="24"/>
              </w:rPr>
              <w:t xml:space="preserve"> счету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0509095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Ведомость доходов физических лиц, облагаемых НДФЛ, страховыми взносами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0509097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Карточка учета имущества в личном пользовании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0504518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Заявка-обоснование закупки товаров, работ, услуг малого объема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0504520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Отчет о расходах подотчетного лица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0504093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приходных и расходных кассовых ордеров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12" w:rsidRPr="001E5230" w:rsidTr="007E3C60">
        <w:trPr>
          <w:trHeight w:val="222"/>
        </w:trPr>
        <w:tc>
          <w:tcPr>
            <w:tcW w:w="5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0504094</w:t>
            </w:r>
          </w:p>
        </w:tc>
        <w:tc>
          <w:tcPr>
            <w:tcW w:w="3827" w:type="dxa"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30">
              <w:rPr>
                <w:rFonts w:ascii="Times New Roman" w:hAnsi="Times New Roman" w:cs="Times New Roman"/>
                <w:sz w:val="24"/>
                <w:szCs w:val="24"/>
              </w:rPr>
              <w:t>Ведомость дополнительных доходов физических лиц, облагаемых налогом на доходы физических лиц, страховых взносов</w:t>
            </w:r>
          </w:p>
        </w:tc>
        <w:tc>
          <w:tcPr>
            <w:tcW w:w="1559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vMerge/>
          </w:tcPr>
          <w:p w:rsidR="00AC1612" w:rsidRPr="001E5230" w:rsidRDefault="00AC1612" w:rsidP="001E52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lastRenderedPageBreak/>
        <w:t>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E306A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Акт о приеме-передаче объектов нефинансовых активов (ф. 0510448);</w:t>
      </w:r>
    </w:p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Накладная на внутреннее перемещение объектов нефинансовых активов (ф. 0510450);</w:t>
      </w:r>
    </w:p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Требование-накладная (ф. 0510451);</w:t>
      </w:r>
    </w:p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Акт приемки това</w:t>
      </w:r>
      <w:bookmarkStart w:id="1" w:name="_GoBack"/>
      <w:bookmarkEnd w:id="1"/>
      <w:r w:rsidRPr="002E306A">
        <w:rPr>
          <w:rFonts w:ascii="Times New Roman" w:hAnsi="Times New Roman" w:cs="Times New Roman"/>
          <w:sz w:val="24"/>
          <w:szCs w:val="24"/>
        </w:rPr>
        <w:t>ров, работ, услуг (ф. 0510452);</w:t>
      </w:r>
    </w:p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Заявка-обоснование закупки товаров, работ, услуг малого объема через подотчетное лицо (ф. 0510521);</w:t>
      </w:r>
    </w:p>
    <w:p w:rsidR="002E306A" w:rsidRP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Карточка учета капитальных вложений (ф. 0509211);</w:t>
      </w:r>
    </w:p>
    <w:p w:rsidR="002E306A" w:rsidRDefault="002E306A" w:rsidP="002E30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E306A">
        <w:rPr>
          <w:rFonts w:ascii="Times New Roman" w:hAnsi="Times New Roman" w:cs="Times New Roman"/>
          <w:sz w:val="24"/>
          <w:szCs w:val="24"/>
        </w:rPr>
        <w:t>- Карточка учета права пользования нефинансовым активом (ф. 0509214)</w:t>
      </w:r>
    </w:p>
    <w:p w:rsidR="0035569A" w:rsidRDefault="00993C86" w:rsidP="00355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93C86">
        <w:rPr>
          <w:rFonts w:ascii="Times New Roman" w:hAnsi="Times New Roman" w:cs="Times New Roman"/>
          <w:sz w:val="24"/>
          <w:szCs w:val="24"/>
        </w:rPr>
        <w:t xml:space="preserve">Взаимодействие централизованной бухгалтерии с учреждениями при формировании первичных (сводных) учетных документов, при представлении данных бухгалтерского учета осуществляется посредством передачи электронных документов либо </w:t>
      </w:r>
      <w:r w:rsidR="0035569A" w:rsidRPr="0035569A">
        <w:rPr>
          <w:rFonts w:ascii="Times New Roman" w:hAnsi="Times New Roman" w:cs="Times New Roman"/>
          <w:sz w:val="24"/>
          <w:szCs w:val="24"/>
        </w:rPr>
        <w:t>при отсутствии организационно-технической возможности субъекта учета формирования и хранения электронных документов, формы унифицированных электронных первичных учетных документов применяются для формирования первичных учетных документов на бумажном носителе с одновременным представлением электронного образ</w:t>
      </w:r>
      <w:r w:rsidR="0035569A">
        <w:rPr>
          <w:rFonts w:ascii="Times New Roman" w:hAnsi="Times New Roman" w:cs="Times New Roman"/>
          <w:sz w:val="24"/>
          <w:szCs w:val="24"/>
        </w:rPr>
        <w:t>а (</w:t>
      </w:r>
      <w:proofErr w:type="gramStart"/>
      <w:r w:rsidR="0035569A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="0035569A">
        <w:rPr>
          <w:rFonts w:ascii="Times New Roman" w:hAnsi="Times New Roman" w:cs="Times New Roman"/>
          <w:sz w:val="24"/>
          <w:szCs w:val="24"/>
        </w:rPr>
        <w:t xml:space="preserve">) такого документа </w:t>
      </w:r>
      <w:r w:rsidRPr="00993C86">
        <w:rPr>
          <w:rFonts w:ascii="Times New Roman" w:hAnsi="Times New Roman" w:cs="Times New Roman"/>
          <w:sz w:val="24"/>
          <w:szCs w:val="24"/>
        </w:rPr>
        <w:t xml:space="preserve">в 1С: Предприятия 8.3. Детальный порядок взаимодействия изложен в графике документооборота – приложение 3 к </w:t>
      </w:r>
      <w:r w:rsidR="004935A0">
        <w:rPr>
          <w:rFonts w:ascii="Times New Roman" w:hAnsi="Times New Roman" w:cs="Times New Roman"/>
          <w:sz w:val="24"/>
          <w:szCs w:val="24"/>
        </w:rPr>
        <w:t>Единой учетной политике</w:t>
      </w:r>
      <w:r w:rsidRPr="00993C86">
        <w:rPr>
          <w:rFonts w:ascii="Times New Roman" w:hAnsi="Times New Roman" w:cs="Times New Roman"/>
          <w:sz w:val="24"/>
          <w:szCs w:val="24"/>
        </w:rPr>
        <w:t>.</w:t>
      </w:r>
      <w:r w:rsidR="00EB1940" w:rsidRPr="00EB1940">
        <w:rPr>
          <w:rFonts w:ascii="Times New Roman" w:hAnsi="Times New Roman" w:cs="Times New Roman"/>
          <w:sz w:val="24"/>
          <w:szCs w:val="24"/>
        </w:rPr>
        <w:t xml:space="preserve">    </w:t>
      </w:r>
      <w:r w:rsidR="00EB1940" w:rsidRPr="00EB1940">
        <w:rPr>
          <w:rFonts w:ascii="Times New Roman" w:hAnsi="Times New Roman" w:cs="Times New Roman"/>
          <w:sz w:val="24"/>
          <w:szCs w:val="24"/>
        </w:rPr>
        <w:tab/>
      </w:r>
    </w:p>
    <w:p w:rsidR="00EB1940" w:rsidRDefault="00EB1940" w:rsidP="003556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Документы, которыми оформляются факты хозяйственной жизни с денежными средствами, принимаются к учету при наличии на документе подписей руководителя  учреждения главного бухгалтера или уполномоченных ими лиц.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  </w:t>
      </w:r>
      <w:r w:rsidRPr="00EB1940">
        <w:rPr>
          <w:rFonts w:ascii="Times New Roman" w:hAnsi="Times New Roman" w:cs="Times New Roman"/>
          <w:sz w:val="24"/>
          <w:szCs w:val="24"/>
        </w:rPr>
        <w:tab/>
        <w:t>Данные прошедших внутренний контроль первичных (сводных) учетных документов регистрируются, систематизируются и накапливаются в регистрах бухгалтерского учета, формы которых утверждены Приказом N 52н</w:t>
      </w:r>
      <w:r w:rsidR="00E20C27">
        <w:rPr>
          <w:rFonts w:ascii="Times New Roman" w:hAnsi="Times New Roman" w:cs="Times New Roman"/>
          <w:sz w:val="24"/>
          <w:szCs w:val="24"/>
        </w:rPr>
        <w:t>, №61н</w:t>
      </w:r>
      <w:r w:rsidRPr="00EB1940">
        <w:rPr>
          <w:rFonts w:ascii="Times New Roman" w:hAnsi="Times New Roman" w:cs="Times New Roman"/>
          <w:sz w:val="24"/>
          <w:szCs w:val="24"/>
        </w:rPr>
        <w:t>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    Регистры бухгалтерского учета оформляются на бумажных носителях и (или) на машинных носителях (в виде электронного документа).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ab/>
        <w:t>Регистры бухгалтерского учета оформляются на бумажных носителях (распечатываются) не позднее 20 числа месяца, следующего за отчетным периодом.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940">
        <w:rPr>
          <w:rFonts w:ascii="Times New Roman" w:hAnsi="Times New Roman" w:cs="Times New Roman"/>
          <w:sz w:val="24"/>
          <w:szCs w:val="24"/>
        </w:rPr>
        <w:t xml:space="preserve">- при отсутствии типовых корреспонденций счетов бухгалтерского (бюджетного) учета Централизованная бухгалтерия реализует право определять необходимую корреспонденцию счетов в части, не противоречащей нормативным правовым актам, регулирующим ведение бухгалтерского (бюджетного) учета и составления бухгалтерской </w:t>
      </w:r>
      <w:r w:rsidRPr="00EB1940">
        <w:rPr>
          <w:rFonts w:ascii="Times New Roman" w:hAnsi="Times New Roman" w:cs="Times New Roman"/>
          <w:sz w:val="24"/>
          <w:szCs w:val="24"/>
        </w:rPr>
        <w:lastRenderedPageBreak/>
        <w:t xml:space="preserve">(бюджетной)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формой: </w:t>
      </w:r>
      <w:proofErr w:type="gramEnd"/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- В Учреждениях инвентаризация осуществляется постоянно действующей комиссией утвержденной  отдельным приказом руководителя Учреждения. Порядок взаимодействия Централизованной бухгалтерии при проведении Учреждениями  инвентаризации активов, имущества, учитываемого на </w:t>
      </w:r>
      <w:proofErr w:type="spellStart"/>
      <w:r w:rsidRPr="00EB1940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Pr="00EB1940">
        <w:rPr>
          <w:rFonts w:ascii="Times New Roman" w:hAnsi="Times New Roman" w:cs="Times New Roman"/>
          <w:sz w:val="24"/>
          <w:szCs w:val="24"/>
        </w:rPr>
        <w:t xml:space="preserve"> счетах, обязательств, иных объектов бухгалтерского учета устанавливается Учреждением. Участие сотрудников Централизованной бухгалтерии в инвентаризационных комиссиях не требуется. Результаты инвентаризации учреждения передают в централизованную бухгалтерию в соответствии с графиком документооборота – приложение №3 к Единой учетной политике (Подпункт «в» пункта 14 СГС «Концептуальные основы бухучета и отчетности»).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- при проведении инвентаризации, перед составлением годовой отчетности признаются результаты инвентаризации, проведенной не ранее 1 октября текущего года в связи со сменой материально ответственного лица;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940">
        <w:rPr>
          <w:rFonts w:ascii="Times New Roman" w:hAnsi="Times New Roman" w:cs="Times New Roman"/>
          <w:sz w:val="24"/>
          <w:szCs w:val="24"/>
        </w:rPr>
        <w:t>- состав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информации, раскрываемой в бухгалтерской (бюджетной) отчетности, в соответствии с критериями существенности;</w:t>
      </w:r>
      <w:proofErr w:type="gramEnd"/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- начисление амортизации объекта основных сре</w:t>
      </w:r>
      <w:proofErr w:type="gramStart"/>
      <w:r w:rsidRPr="00EB194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B1940">
        <w:rPr>
          <w:rFonts w:ascii="Times New Roman" w:hAnsi="Times New Roman" w:cs="Times New Roman"/>
          <w:sz w:val="24"/>
          <w:szCs w:val="24"/>
        </w:rPr>
        <w:t>оизводится линейным методом;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- событие после отчетной даты отражаются в бухгалтерском (бюджетном) учете и раскрывается в бухгалтерской (бюджетной) отчетности в соответствии с положениями приказа Министерства финансов Российской Федерации от 30 декабря 2017г. № 275н «Об утверждении федерального стандарта бюджетного учета для организаций государственного сектора «События после отчетной даты»;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- событие после отчетной даты признаются существенным, в случае, когда информация, раскрываемая в бухгалтерской (бюджетной) отчетности о нем является существенной информацией;</w:t>
      </w:r>
    </w:p>
    <w:p w:rsidR="00165FF3" w:rsidRPr="00165FF3" w:rsidRDefault="00165FF3" w:rsidP="00165F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165FF3">
        <w:rPr>
          <w:rFonts w:ascii="Times New Roman" w:hAnsi="Times New Roman" w:cs="Times New Roman"/>
          <w:sz w:val="24"/>
          <w:szCs w:val="24"/>
        </w:rPr>
        <w:t xml:space="preserve"> учреждении создаются резервы по выплатам персоналу, по искам и претензионным требованиям, по сомнительным долгам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5FF3" w:rsidRPr="00165FF3" w:rsidRDefault="00165FF3" w:rsidP="00165F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</w:t>
      </w:r>
      <w:r w:rsidRPr="00165FF3">
        <w:rPr>
          <w:rFonts w:ascii="Times New Roman" w:hAnsi="Times New Roman" w:cs="Times New Roman"/>
          <w:sz w:val="24"/>
          <w:szCs w:val="24"/>
        </w:rPr>
        <w:t>езерв расходов по выплатам отпускных персоналу формируется в сумме отложенных обязательств на оплату отпусков за фактически отработанное время в части выплат персоналу и в части оплаты страховых;</w:t>
      </w:r>
    </w:p>
    <w:p w:rsidR="00EB1940" w:rsidRPr="00EB1940" w:rsidRDefault="00165FF3" w:rsidP="00165FF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р</w:t>
      </w:r>
      <w:r w:rsidRPr="00165FF3">
        <w:rPr>
          <w:rFonts w:ascii="Times New Roman" w:hAnsi="Times New Roman" w:cs="Times New Roman"/>
          <w:sz w:val="24"/>
          <w:szCs w:val="24"/>
        </w:rPr>
        <w:t xml:space="preserve">езерв по искам, претензионным требованиям — в </w:t>
      </w:r>
      <w:proofErr w:type="gramStart"/>
      <w:r w:rsidRPr="00165FF3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65FF3">
        <w:rPr>
          <w:rFonts w:ascii="Times New Roman" w:hAnsi="Times New Roman" w:cs="Times New Roman"/>
          <w:sz w:val="24"/>
          <w:szCs w:val="24"/>
        </w:rPr>
        <w:t xml:space="preserve"> когда учреждение является стороной судебного разбирательства. Величина резерва устанавливается в размере претензии, предъявленной учреждению в судебном иске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165FF3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165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F3">
        <w:rPr>
          <w:rFonts w:ascii="Times New Roman" w:hAnsi="Times New Roman" w:cs="Times New Roman"/>
          <w:sz w:val="24"/>
          <w:szCs w:val="24"/>
        </w:rPr>
        <w:t>сторно</w:t>
      </w:r>
      <w:proofErr w:type="spellEnd"/>
      <w:r w:rsidRPr="00165FF3">
        <w:rPr>
          <w:rFonts w:ascii="Times New Roman" w:hAnsi="Times New Roman" w:cs="Times New Roman"/>
          <w:sz w:val="24"/>
          <w:szCs w:val="24"/>
        </w:rPr>
        <w:t>».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- бухгалтерская (финансовая) отчетность Учреждений составляется и представляется Централизованной бухгалтерией в сроки и в порядке, которые установлены действующим законодательством (Приказы Минфина России от 25.03.2011 N 33н и от 28.12.2010 N 191н):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Свод-Смарт. После утверждения руководителем учреждения отчетность в установленные сроки представляется в Комитет образования администрации городского округа "Город Чита" на бумажных носителях и (или) по телекоммуникационным каналам связи; 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1940">
        <w:rPr>
          <w:rFonts w:ascii="Times New Roman" w:hAnsi="Times New Roman" w:cs="Times New Roman"/>
          <w:sz w:val="24"/>
          <w:szCs w:val="24"/>
        </w:rPr>
        <w:t>Данные бухгалтерского (бюджетного) учета и сформированная на их основе отчетность формируются с учетом существенности фактов хозяйственной жизни, которые оказали или могут оказать влияние на финансовое состояние, движение денежных средств или результаты деятельности учреждения и имели место в период между отчетной датой и датой подписания бухгалтерской (финансовой) отчетности (событие после отчетной даты).</w:t>
      </w:r>
      <w:proofErr w:type="gramEnd"/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Уровень существенности установлен в размере: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    - 10 процентов;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B1940">
        <w:rPr>
          <w:rFonts w:ascii="Times New Roman" w:hAnsi="Times New Roman" w:cs="Times New Roman"/>
          <w:sz w:val="24"/>
          <w:szCs w:val="24"/>
        </w:rPr>
        <w:t>- Принципы и задачи внутреннего централизованного финансового контроля Учреждений,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кодексом Российской Федерации</w:t>
      </w:r>
      <w:proofErr w:type="gramEnd"/>
      <w:r w:rsidRPr="00EB1940">
        <w:rPr>
          <w:rFonts w:ascii="Times New Roman" w:hAnsi="Times New Roman" w:cs="Times New Roman"/>
          <w:sz w:val="24"/>
          <w:szCs w:val="24"/>
        </w:rPr>
        <w:t>, ч. ч. 1, 3 ст. 9 Федерального закона от 06.12.2011 N 402-ФЗ "О бухгалтерском учете", п. п. 20, 23 Федерального стандарта "Концептуальные основы бухучета", п. 9 Федерального стандарта N 274н.</w:t>
      </w:r>
    </w:p>
    <w:p w:rsidR="00EB1940" w:rsidRP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t>Формы и методы внутреннего централизованного финансового контроля совершаемых фактов хозяйственной деятельности, периодичность плановых мероприятий Учреждения определяются в соответствии с Порядком организации и обеспечения внутреннего финансового контроля  представлено в Приложение к Единой учетной политике N4;</w:t>
      </w:r>
    </w:p>
    <w:p w:rsidR="00EB1940" w:rsidRDefault="00EB1940" w:rsidP="00EB19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1940">
        <w:rPr>
          <w:rFonts w:ascii="Times New Roman" w:hAnsi="Times New Roman" w:cs="Times New Roman"/>
          <w:sz w:val="24"/>
          <w:szCs w:val="24"/>
        </w:rPr>
        <w:lastRenderedPageBreak/>
        <w:t>- основные положения учетной политики Централизованной бухгалтерии применяются одновременно с иными документами Единой учетной политики, оформленными приказами Учреждения, а также положениями законодательства Российской Федерации о бухгалтерском учете.</w:t>
      </w:r>
      <w:r w:rsidR="007C5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EB1940" w:rsidRDefault="00EB1940" w:rsidP="007C5C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90C3B" w:rsidRPr="00A94FB8" w:rsidRDefault="00D90C3B" w:rsidP="00D90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0C3B" w:rsidRPr="00A9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D64BE"/>
    <w:multiLevelType w:val="hybridMultilevel"/>
    <w:tmpl w:val="A10E3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B"/>
    <w:rsid w:val="00052953"/>
    <w:rsid w:val="00081FBA"/>
    <w:rsid w:val="000871D1"/>
    <w:rsid w:val="000903AC"/>
    <w:rsid w:val="00095732"/>
    <w:rsid w:val="000C35AB"/>
    <w:rsid w:val="000D6F48"/>
    <w:rsid w:val="000E4596"/>
    <w:rsid w:val="000E782D"/>
    <w:rsid w:val="000F764B"/>
    <w:rsid w:val="00103EB1"/>
    <w:rsid w:val="00110378"/>
    <w:rsid w:val="00137EB0"/>
    <w:rsid w:val="00165FF3"/>
    <w:rsid w:val="001748C1"/>
    <w:rsid w:val="001D1BD8"/>
    <w:rsid w:val="001E5230"/>
    <w:rsid w:val="001E6961"/>
    <w:rsid w:val="00255913"/>
    <w:rsid w:val="0026163B"/>
    <w:rsid w:val="002B4640"/>
    <w:rsid w:val="002D4B5B"/>
    <w:rsid w:val="002E306A"/>
    <w:rsid w:val="003112A7"/>
    <w:rsid w:val="00327B94"/>
    <w:rsid w:val="0034333F"/>
    <w:rsid w:val="00343845"/>
    <w:rsid w:val="003504E6"/>
    <w:rsid w:val="0035569A"/>
    <w:rsid w:val="00391A79"/>
    <w:rsid w:val="00397F0C"/>
    <w:rsid w:val="003A09AF"/>
    <w:rsid w:val="003A632C"/>
    <w:rsid w:val="003C310A"/>
    <w:rsid w:val="003C3222"/>
    <w:rsid w:val="003D0C49"/>
    <w:rsid w:val="00417135"/>
    <w:rsid w:val="00453E83"/>
    <w:rsid w:val="00481EB1"/>
    <w:rsid w:val="004935A0"/>
    <w:rsid w:val="00494FDA"/>
    <w:rsid w:val="004A43A5"/>
    <w:rsid w:val="004B6E1E"/>
    <w:rsid w:val="004C2B19"/>
    <w:rsid w:val="004C380D"/>
    <w:rsid w:val="004D7174"/>
    <w:rsid w:val="004E496D"/>
    <w:rsid w:val="004E51EA"/>
    <w:rsid w:val="005066E8"/>
    <w:rsid w:val="00564B15"/>
    <w:rsid w:val="00575990"/>
    <w:rsid w:val="00582CCC"/>
    <w:rsid w:val="005B64AC"/>
    <w:rsid w:val="005C2CBB"/>
    <w:rsid w:val="005C437C"/>
    <w:rsid w:val="005D6377"/>
    <w:rsid w:val="005E35B5"/>
    <w:rsid w:val="005F6AE9"/>
    <w:rsid w:val="006159FE"/>
    <w:rsid w:val="00616372"/>
    <w:rsid w:val="0064706E"/>
    <w:rsid w:val="00650C31"/>
    <w:rsid w:val="006A0A6E"/>
    <w:rsid w:val="006A4B89"/>
    <w:rsid w:val="006A722D"/>
    <w:rsid w:val="00737265"/>
    <w:rsid w:val="007373F5"/>
    <w:rsid w:val="007678BD"/>
    <w:rsid w:val="007A12B0"/>
    <w:rsid w:val="007C5CB1"/>
    <w:rsid w:val="007E3C60"/>
    <w:rsid w:val="007F3054"/>
    <w:rsid w:val="00807034"/>
    <w:rsid w:val="0082199B"/>
    <w:rsid w:val="0083467B"/>
    <w:rsid w:val="00851784"/>
    <w:rsid w:val="00871835"/>
    <w:rsid w:val="008B5CA8"/>
    <w:rsid w:val="008D052E"/>
    <w:rsid w:val="008E4AC9"/>
    <w:rsid w:val="00914D66"/>
    <w:rsid w:val="0091615B"/>
    <w:rsid w:val="00967829"/>
    <w:rsid w:val="00993C86"/>
    <w:rsid w:val="009970CC"/>
    <w:rsid w:val="009F3439"/>
    <w:rsid w:val="00A12BF9"/>
    <w:rsid w:val="00A20464"/>
    <w:rsid w:val="00A2719F"/>
    <w:rsid w:val="00A36388"/>
    <w:rsid w:val="00A54388"/>
    <w:rsid w:val="00A83021"/>
    <w:rsid w:val="00A94FB8"/>
    <w:rsid w:val="00AA0DBD"/>
    <w:rsid w:val="00AC1612"/>
    <w:rsid w:val="00AD45E0"/>
    <w:rsid w:val="00AF5E8E"/>
    <w:rsid w:val="00B03355"/>
    <w:rsid w:val="00B10A1B"/>
    <w:rsid w:val="00B36C9D"/>
    <w:rsid w:val="00B65605"/>
    <w:rsid w:val="00B704E1"/>
    <w:rsid w:val="00B8376D"/>
    <w:rsid w:val="00BA4FA2"/>
    <w:rsid w:val="00BA5D59"/>
    <w:rsid w:val="00BA69CB"/>
    <w:rsid w:val="00BF3AB2"/>
    <w:rsid w:val="00C20FBF"/>
    <w:rsid w:val="00C3338E"/>
    <w:rsid w:val="00C434B8"/>
    <w:rsid w:val="00C52859"/>
    <w:rsid w:val="00C75BFE"/>
    <w:rsid w:val="00C77DFE"/>
    <w:rsid w:val="00C84D7F"/>
    <w:rsid w:val="00CC7A60"/>
    <w:rsid w:val="00CD1374"/>
    <w:rsid w:val="00CD3D9D"/>
    <w:rsid w:val="00CE4535"/>
    <w:rsid w:val="00CE60A5"/>
    <w:rsid w:val="00CE653C"/>
    <w:rsid w:val="00D11041"/>
    <w:rsid w:val="00D27890"/>
    <w:rsid w:val="00D53C3B"/>
    <w:rsid w:val="00D90C3B"/>
    <w:rsid w:val="00D97311"/>
    <w:rsid w:val="00DB7187"/>
    <w:rsid w:val="00DE08BC"/>
    <w:rsid w:val="00E20C27"/>
    <w:rsid w:val="00E30784"/>
    <w:rsid w:val="00E52E69"/>
    <w:rsid w:val="00E5526C"/>
    <w:rsid w:val="00E85A2A"/>
    <w:rsid w:val="00EB1940"/>
    <w:rsid w:val="00ED3E7B"/>
    <w:rsid w:val="00EE476F"/>
    <w:rsid w:val="00F065FE"/>
    <w:rsid w:val="00F135D5"/>
    <w:rsid w:val="00F2062A"/>
    <w:rsid w:val="00F21E5B"/>
    <w:rsid w:val="00F24B15"/>
    <w:rsid w:val="00F61E48"/>
    <w:rsid w:val="00F75D4C"/>
    <w:rsid w:val="00F97FB4"/>
    <w:rsid w:val="00FC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C1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FC13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Москаленко</cp:lastModifiedBy>
  <cp:revision>126</cp:revision>
  <dcterms:created xsi:type="dcterms:W3CDTF">2018-12-24T07:17:00Z</dcterms:created>
  <dcterms:modified xsi:type="dcterms:W3CDTF">2022-12-30T03:25:00Z</dcterms:modified>
</cp:coreProperties>
</file>