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B6" w:rsidRPr="008456B6" w:rsidRDefault="008456B6" w:rsidP="008456B6">
      <w:pPr>
        <w:spacing w:after="0" w:line="240" w:lineRule="auto"/>
        <w:jc w:val="center"/>
        <w:rPr>
          <w:rFonts w:ascii="Times New Roman" w:eastAsia="Times New Roman" w:hAnsi="Times New Roman" w:cs="Times New Roman"/>
          <w:b/>
          <w:bCs/>
          <w:caps/>
          <w:color w:val="000000"/>
          <w:sz w:val="24"/>
          <w:szCs w:val="24"/>
          <w:lang w:val="x-none" w:eastAsia="ru-RU"/>
        </w:rPr>
      </w:pPr>
      <w:r w:rsidRPr="008456B6">
        <w:rPr>
          <w:rFonts w:ascii="Times New Roman" w:eastAsia="Times New Roman" w:hAnsi="Times New Roman" w:cs="Times New Roman"/>
          <w:b/>
          <w:bCs/>
          <w:caps/>
          <w:color w:val="000000"/>
          <w:sz w:val="24"/>
          <w:szCs w:val="24"/>
          <w:lang w:val="x-none" w:eastAsia="ru-RU"/>
        </w:rPr>
        <w:t xml:space="preserve">ТИПОВЫЕ Требования техники безопасности </w:t>
      </w:r>
    </w:p>
    <w:p w:rsidR="008456B6" w:rsidRPr="008456B6" w:rsidRDefault="008456B6" w:rsidP="008456B6">
      <w:pPr>
        <w:spacing w:after="0" w:line="240" w:lineRule="auto"/>
        <w:jc w:val="center"/>
        <w:rPr>
          <w:rFonts w:ascii="Times New Roman" w:eastAsia="Times New Roman" w:hAnsi="Times New Roman" w:cs="Times New Roman"/>
          <w:b/>
          <w:bCs/>
          <w:color w:val="000000"/>
          <w:sz w:val="24"/>
          <w:szCs w:val="24"/>
          <w:lang w:val="x-none" w:eastAsia="ru-RU"/>
        </w:rPr>
      </w:pPr>
      <w:r w:rsidRPr="008456B6">
        <w:rPr>
          <w:rFonts w:ascii="Times New Roman" w:eastAsia="Times New Roman" w:hAnsi="Times New Roman" w:cs="Times New Roman"/>
          <w:b/>
          <w:bCs/>
          <w:color w:val="000000"/>
          <w:sz w:val="24"/>
          <w:szCs w:val="24"/>
          <w:lang w:val="x-none" w:eastAsia="ru-RU"/>
        </w:rPr>
        <w:t xml:space="preserve">для демонстрации работ на выставочной экспозиции </w:t>
      </w:r>
      <w:r>
        <w:rPr>
          <w:rFonts w:ascii="Times New Roman" w:eastAsia="Times New Roman" w:hAnsi="Times New Roman" w:cs="Times New Roman"/>
          <w:b/>
          <w:bCs/>
          <w:color w:val="000000"/>
          <w:sz w:val="24"/>
          <w:szCs w:val="24"/>
          <w:lang w:eastAsia="ru-RU"/>
        </w:rPr>
        <w:t xml:space="preserve">муниципальном отборочном туре </w:t>
      </w:r>
      <w:r w:rsidRPr="008456B6">
        <w:rPr>
          <w:rFonts w:ascii="Times New Roman" w:eastAsia="Times New Roman" w:hAnsi="Times New Roman" w:cs="Times New Roman"/>
          <w:b/>
          <w:bCs/>
          <w:color w:val="000000"/>
          <w:sz w:val="24"/>
          <w:szCs w:val="24"/>
          <w:lang w:val="x-none" w:eastAsia="ru-RU"/>
        </w:rPr>
        <w:t>конкурс</w:t>
      </w:r>
      <w:r>
        <w:rPr>
          <w:rFonts w:ascii="Times New Roman" w:eastAsia="Times New Roman" w:hAnsi="Times New Roman" w:cs="Times New Roman"/>
          <w:b/>
          <w:bCs/>
          <w:color w:val="000000"/>
          <w:sz w:val="24"/>
          <w:szCs w:val="24"/>
          <w:lang w:eastAsia="ru-RU"/>
        </w:rPr>
        <w:t>а</w:t>
      </w:r>
      <w:r w:rsidRPr="008456B6">
        <w:rPr>
          <w:rFonts w:ascii="Times New Roman" w:eastAsia="Times New Roman" w:hAnsi="Times New Roman" w:cs="Times New Roman"/>
          <w:b/>
          <w:bCs/>
          <w:color w:val="000000"/>
          <w:sz w:val="24"/>
          <w:szCs w:val="24"/>
          <w:lang w:val="x-none" w:eastAsia="ru-RU"/>
        </w:rPr>
        <w:t>-выстав</w:t>
      </w:r>
      <w:r>
        <w:rPr>
          <w:rFonts w:ascii="Times New Roman" w:eastAsia="Times New Roman" w:hAnsi="Times New Roman" w:cs="Times New Roman"/>
          <w:b/>
          <w:bCs/>
          <w:color w:val="000000"/>
          <w:sz w:val="24"/>
          <w:szCs w:val="24"/>
          <w:lang w:eastAsia="ru-RU"/>
        </w:rPr>
        <w:t xml:space="preserve">ки </w:t>
      </w:r>
      <w:bookmarkStart w:id="0" w:name="_GoBack"/>
      <w:bookmarkEnd w:id="0"/>
      <w:r w:rsidRPr="008456B6">
        <w:rPr>
          <w:rFonts w:ascii="Times New Roman" w:eastAsia="Times New Roman" w:hAnsi="Times New Roman" w:cs="Times New Roman"/>
          <w:b/>
          <w:bCs/>
          <w:color w:val="000000"/>
          <w:sz w:val="24"/>
          <w:szCs w:val="24"/>
          <w:lang w:val="x-none" w:eastAsia="ru-RU"/>
        </w:rPr>
        <w:t xml:space="preserve"> научно-технологических и социальных предпринимателей «Молодёжь. Наука. Бизнес»</w:t>
      </w:r>
    </w:p>
    <w:p w:rsidR="008456B6" w:rsidRPr="008456B6" w:rsidRDefault="008456B6" w:rsidP="008456B6">
      <w:pPr>
        <w:spacing w:after="0" w:line="240" w:lineRule="auto"/>
        <w:jc w:val="center"/>
        <w:rPr>
          <w:rFonts w:ascii="Times New Roman" w:eastAsia="Times New Roman" w:hAnsi="Times New Roman" w:cs="Times New Roman"/>
          <w:b/>
          <w:bCs/>
          <w:caps/>
          <w:color w:val="000000"/>
          <w:sz w:val="24"/>
          <w:szCs w:val="24"/>
          <w:lang w:val="x-none" w:eastAsia="ru-RU"/>
        </w:rPr>
      </w:pPr>
    </w:p>
    <w:p w:rsidR="008456B6" w:rsidRPr="008456B6" w:rsidRDefault="008456B6" w:rsidP="008456B6">
      <w:pPr>
        <w:spacing w:after="120" w:line="240" w:lineRule="auto"/>
        <w:ind w:firstLine="426"/>
        <w:jc w:val="both"/>
        <w:rPr>
          <w:rFonts w:ascii="Times New Roman" w:eastAsia="Times New Roman" w:hAnsi="Times New Roman" w:cs="Times New Roman"/>
          <w:color w:val="000000"/>
          <w:spacing w:val="-2"/>
          <w:sz w:val="24"/>
          <w:szCs w:val="24"/>
          <w:lang w:val="x-none" w:eastAsia="ru-RU"/>
        </w:rPr>
      </w:pPr>
      <w:r w:rsidRPr="008456B6">
        <w:rPr>
          <w:rFonts w:ascii="Times New Roman" w:eastAsia="Times New Roman" w:hAnsi="Times New Roman" w:cs="Times New Roman"/>
          <w:color w:val="000000"/>
          <w:spacing w:val="-2"/>
          <w:sz w:val="24"/>
          <w:szCs w:val="24"/>
          <w:lang w:val="x-none" w:eastAsia="ru-RU"/>
        </w:rPr>
        <w:t xml:space="preserve">Данные требования накладывают ограничения на использование опасных и вредных источников в стендовых экспозициях участников выставки. Требования составлены на основании нормативно-правовых актов, обязательных для исполнения на территории России: Федеральный закон «О санитарно-эпидемиологическом благополучии населения» (ФЗ №52 от 30 марта </w:t>
      </w:r>
      <w:smartTag w:uri="urn:schemas-microsoft-com:office:smarttags" w:element="metricconverter">
        <w:smartTagPr>
          <w:attr w:name="ProductID" w:val="1999 г"/>
        </w:smartTagPr>
        <w:r w:rsidRPr="008456B6">
          <w:rPr>
            <w:rFonts w:ascii="Times New Roman" w:eastAsia="Times New Roman" w:hAnsi="Times New Roman" w:cs="Times New Roman"/>
            <w:color w:val="000000"/>
            <w:spacing w:val="-2"/>
            <w:sz w:val="24"/>
            <w:szCs w:val="24"/>
            <w:lang w:val="x-none" w:eastAsia="ru-RU"/>
          </w:rPr>
          <w:t>1999 г</w:t>
        </w:r>
      </w:smartTag>
      <w:r w:rsidRPr="008456B6">
        <w:rPr>
          <w:rFonts w:ascii="Times New Roman" w:eastAsia="Times New Roman" w:hAnsi="Times New Roman" w:cs="Times New Roman"/>
          <w:color w:val="000000"/>
          <w:spacing w:val="-2"/>
          <w:sz w:val="24"/>
          <w:szCs w:val="24"/>
          <w:lang w:val="x-none" w:eastAsia="ru-RU"/>
        </w:rPr>
        <w:t xml:space="preserve">.); «Правила устройства электроустановок» (ПУЭ); «Правила устройства и безопасной эксплуатации сосудов, работающих под давлением» (ПБ 03-576-03); «Санитарные нормы и правила устройства и эксплуатации лазеров» (СН 5804-91); «Нормы радиационной безопасности НРБ-99» (СП 2.6.1.758-99); </w:t>
      </w:r>
      <w:r w:rsidRPr="008456B6">
        <w:rPr>
          <w:rFonts w:ascii="Times New Roman" w:eastAsia="Times New Roman" w:hAnsi="Times New Roman" w:cs="Times New Roman"/>
          <w:bCs/>
          <w:color w:val="000000"/>
          <w:spacing w:val="-2"/>
          <w:sz w:val="24"/>
          <w:szCs w:val="24"/>
          <w:lang w:val="x-none" w:eastAsia="ru-RU"/>
        </w:rPr>
        <w:t xml:space="preserve">Стандарт «Пожарная безопасность. Общие требования» (ГОСТ 12.1.004-91); </w:t>
      </w:r>
      <w:r w:rsidRPr="008456B6">
        <w:rPr>
          <w:rFonts w:ascii="Times New Roman" w:eastAsia="Times New Roman" w:hAnsi="Times New Roman" w:cs="Times New Roman"/>
          <w:color w:val="000000"/>
          <w:spacing w:val="-2"/>
          <w:sz w:val="24"/>
          <w:szCs w:val="24"/>
          <w:lang w:val="x-none" w:eastAsia="ru-RU"/>
        </w:rPr>
        <w:t>Санитарные нормы «Шум на рабочих местах, в помещениях жилых, общественных зданий и на территории жилой застройки» (СН 2.2.4/2.1.8.562-96); Санитарные правила и нормы «Электромагнитные излучения радиочастотного диапазона» (СанПиН 2.2.4/2.1.8.055-96).</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r w:rsidRPr="008456B6">
        <w:rPr>
          <w:rFonts w:ascii="Times New Roman" w:eastAsia="Times New Roman" w:hAnsi="Times New Roman" w:cs="Times New Roman"/>
          <w:color w:val="000000"/>
          <w:sz w:val="24"/>
          <w:szCs w:val="24"/>
          <w:lang w:val="x-none" w:eastAsia="ru-RU"/>
        </w:rPr>
        <w:t xml:space="preserve">С целью уменьшения </w:t>
      </w:r>
      <w:proofErr w:type="spellStart"/>
      <w:r w:rsidRPr="008456B6">
        <w:rPr>
          <w:rFonts w:ascii="Times New Roman" w:eastAsia="Times New Roman" w:hAnsi="Times New Roman" w:cs="Times New Roman"/>
          <w:color w:val="000000"/>
          <w:sz w:val="24"/>
          <w:szCs w:val="24"/>
          <w:lang w:val="x-none" w:eastAsia="ru-RU"/>
        </w:rPr>
        <w:t>электроопасности</w:t>
      </w:r>
      <w:proofErr w:type="spellEnd"/>
      <w:r w:rsidRPr="008456B6">
        <w:rPr>
          <w:rFonts w:ascii="Times New Roman" w:eastAsia="Times New Roman" w:hAnsi="Times New Roman" w:cs="Times New Roman"/>
          <w:color w:val="000000"/>
          <w:sz w:val="24"/>
          <w:szCs w:val="24"/>
          <w:lang w:val="x-none" w:eastAsia="ru-RU"/>
        </w:rPr>
        <w:t xml:space="preserve">, </w:t>
      </w:r>
      <w:proofErr w:type="spellStart"/>
      <w:r w:rsidRPr="008456B6">
        <w:rPr>
          <w:rFonts w:ascii="Times New Roman" w:eastAsia="Times New Roman" w:hAnsi="Times New Roman" w:cs="Times New Roman"/>
          <w:color w:val="000000"/>
          <w:sz w:val="24"/>
          <w:szCs w:val="24"/>
          <w:lang w:val="x-none" w:eastAsia="ru-RU"/>
        </w:rPr>
        <w:t>пожаро</w:t>
      </w:r>
      <w:proofErr w:type="spellEnd"/>
      <w:r w:rsidRPr="008456B6">
        <w:rPr>
          <w:rFonts w:ascii="Times New Roman" w:eastAsia="Times New Roman" w:hAnsi="Times New Roman" w:cs="Times New Roman"/>
          <w:color w:val="000000"/>
          <w:sz w:val="24"/>
          <w:szCs w:val="24"/>
          <w:lang w:val="x-none" w:eastAsia="ru-RU"/>
        </w:rPr>
        <w:t xml:space="preserve">- взрывоопасности, </w:t>
      </w:r>
      <w:proofErr w:type="spellStart"/>
      <w:r w:rsidRPr="008456B6">
        <w:rPr>
          <w:rFonts w:ascii="Times New Roman" w:eastAsia="Times New Roman" w:hAnsi="Times New Roman" w:cs="Times New Roman"/>
          <w:color w:val="000000"/>
          <w:sz w:val="24"/>
          <w:szCs w:val="24"/>
          <w:lang w:val="x-none" w:eastAsia="ru-RU"/>
        </w:rPr>
        <w:t>травмоопасности</w:t>
      </w:r>
      <w:proofErr w:type="spellEnd"/>
      <w:r w:rsidRPr="008456B6">
        <w:rPr>
          <w:rFonts w:ascii="Times New Roman" w:eastAsia="Times New Roman" w:hAnsi="Times New Roman" w:cs="Times New Roman"/>
          <w:color w:val="000000"/>
          <w:sz w:val="24"/>
          <w:szCs w:val="24"/>
          <w:lang w:val="x-none" w:eastAsia="ru-RU"/>
        </w:rPr>
        <w:t xml:space="preserve"> и предотвращения воздействия на людей вредных факторов химического, биологического и физического происхождения, КАТЕГОРИЧЕСКИ ЗАПРЕЩАЕТСЯ использовать в составе выставочных экспозиций:</w:t>
      </w:r>
    </w:p>
    <w:p w:rsidR="008456B6" w:rsidRPr="008456B6" w:rsidRDefault="008456B6" w:rsidP="008456B6">
      <w:pPr>
        <w:numPr>
          <w:ilvl w:val="0"/>
          <w:numId w:val="1"/>
        </w:numPr>
        <w:tabs>
          <w:tab w:val="num" w:pos="709"/>
        </w:tabs>
        <w:spacing w:after="120" w:line="240" w:lineRule="auto"/>
        <w:ind w:left="709" w:hanging="283"/>
        <w:jc w:val="both"/>
        <w:rPr>
          <w:rFonts w:ascii="Times New Roman" w:eastAsia="Times New Roman" w:hAnsi="Times New Roman" w:cs="Times New Roman"/>
          <w:color w:val="000000"/>
          <w:sz w:val="24"/>
          <w:szCs w:val="24"/>
          <w:lang w:eastAsia="ru-RU"/>
        </w:rPr>
      </w:pPr>
      <w:proofErr w:type="gramStart"/>
      <w:r w:rsidRPr="008456B6">
        <w:rPr>
          <w:rFonts w:ascii="Times New Roman" w:eastAsia="Times New Roman" w:hAnsi="Times New Roman" w:cs="Times New Roman"/>
          <w:color w:val="000000"/>
          <w:sz w:val="24"/>
          <w:szCs w:val="24"/>
          <w:lang w:eastAsia="ru-RU"/>
        </w:rPr>
        <w:t xml:space="preserve">Токсичные газообразные и летучие химические вещества, (хлор, диоксид серы, </w:t>
      </w:r>
      <w:proofErr w:type="spellStart"/>
      <w:r w:rsidRPr="008456B6">
        <w:rPr>
          <w:rFonts w:ascii="Times New Roman" w:eastAsia="Times New Roman" w:hAnsi="Times New Roman" w:cs="Times New Roman"/>
          <w:color w:val="000000"/>
          <w:sz w:val="24"/>
          <w:szCs w:val="24"/>
          <w:lang w:eastAsia="ru-RU"/>
        </w:rPr>
        <w:t>монооксид</w:t>
      </w:r>
      <w:proofErr w:type="spellEnd"/>
      <w:r w:rsidRPr="008456B6">
        <w:rPr>
          <w:rFonts w:ascii="Times New Roman" w:eastAsia="Times New Roman" w:hAnsi="Times New Roman" w:cs="Times New Roman"/>
          <w:color w:val="000000"/>
          <w:sz w:val="24"/>
          <w:szCs w:val="24"/>
          <w:lang w:eastAsia="ru-RU"/>
        </w:rPr>
        <w:t xml:space="preserve"> углерода, оксиды азота, сероводород, аммиак, соляную, серную, азотную, уксусную кислоты, синильную кислоту и ее производные (цианиды), щелочи лития, калия и натрия, формальдегид, бензол, толуол, фенол, дихлорэтан, </w:t>
      </w:r>
      <w:proofErr w:type="spellStart"/>
      <w:r w:rsidRPr="008456B6">
        <w:rPr>
          <w:rFonts w:ascii="Times New Roman" w:eastAsia="Times New Roman" w:hAnsi="Times New Roman" w:cs="Times New Roman"/>
          <w:color w:val="000000"/>
          <w:sz w:val="24"/>
          <w:szCs w:val="24"/>
          <w:lang w:eastAsia="ru-RU"/>
        </w:rPr>
        <w:t>тетрахлорметан</w:t>
      </w:r>
      <w:proofErr w:type="spellEnd"/>
      <w:r w:rsidRPr="008456B6">
        <w:rPr>
          <w:rFonts w:ascii="Times New Roman" w:eastAsia="Times New Roman" w:hAnsi="Times New Roman" w:cs="Times New Roman"/>
          <w:color w:val="000000"/>
          <w:sz w:val="24"/>
          <w:szCs w:val="24"/>
          <w:lang w:eastAsia="ru-RU"/>
        </w:rPr>
        <w:t>, метанол, этанол, ацетон, этиленгликоль, анилин, соединения фосфора и ртути);</w:t>
      </w:r>
      <w:proofErr w:type="gramEnd"/>
    </w:p>
    <w:p w:rsidR="008456B6" w:rsidRPr="008456B6" w:rsidRDefault="008456B6" w:rsidP="008456B6">
      <w:pPr>
        <w:numPr>
          <w:ilvl w:val="0"/>
          <w:numId w:val="1"/>
        </w:numPr>
        <w:tabs>
          <w:tab w:val="num" w:pos="142"/>
          <w:tab w:val="num" w:pos="709"/>
        </w:tabs>
        <w:spacing w:after="120" w:line="240" w:lineRule="auto"/>
        <w:ind w:left="709" w:hanging="283"/>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Радиоактивные изотопы химических элементов и источники рентгеновского излучения;</w:t>
      </w:r>
    </w:p>
    <w:p w:rsidR="008456B6" w:rsidRPr="008456B6" w:rsidRDefault="008456B6" w:rsidP="008456B6">
      <w:pPr>
        <w:numPr>
          <w:ilvl w:val="0"/>
          <w:numId w:val="1"/>
        </w:numPr>
        <w:tabs>
          <w:tab w:val="num" w:pos="709"/>
        </w:tabs>
        <w:spacing w:after="120" w:line="240" w:lineRule="auto"/>
        <w:ind w:left="709" w:hanging="283"/>
        <w:jc w:val="both"/>
        <w:rPr>
          <w:rFonts w:ascii="Times New Roman" w:eastAsia="Times New Roman" w:hAnsi="Times New Roman" w:cs="Times New Roman"/>
          <w:color w:val="000000"/>
          <w:sz w:val="24"/>
          <w:szCs w:val="24"/>
          <w:lang w:eastAsia="ru-RU"/>
        </w:rPr>
      </w:pPr>
      <w:proofErr w:type="spellStart"/>
      <w:proofErr w:type="gramStart"/>
      <w:r w:rsidRPr="008456B6">
        <w:rPr>
          <w:rFonts w:ascii="Times New Roman" w:eastAsia="Times New Roman" w:hAnsi="Times New Roman" w:cs="Times New Roman"/>
          <w:color w:val="000000"/>
          <w:sz w:val="24"/>
          <w:szCs w:val="24"/>
          <w:lang w:eastAsia="ru-RU"/>
        </w:rPr>
        <w:t>Пожаро</w:t>
      </w:r>
      <w:proofErr w:type="spellEnd"/>
      <w:r w:rsidRPr="008456B6">
        <w:rPr>
          <w:rFonts w:ascii="Times New Roman" w:eastAsia="Times New Roman" w:hAnsi="Times New Roman" w:cs="Times New Roman"/>
          <w:color w:val="000000"/>
          <w:sz w:val="24"/>
          <w:szCs w:val="24"/>
          <w:lang w:eastAsia="ru-RU"/>
        </w:rPr>
        <w:t>-взрывоопасные вещества (водород, бензин, керосин, дизельное топливо, эфиры, этилацетат, чистую серу и фосфор, литий, натрий, калий, рубидий, кальций и магний в металлически чистом состоянии);</w:t>
      </w:r>
      <w:proofErr w:type="gramEnd"/>
    </w:p>
    <w:p w:rsidR="008456B6" w:rsidRPr="008456B6" w:rsidRDefault="008456B6" w:rsidP="008456B6">
      <w:pPr>
        <w:numPr>
          <w:ilvl w:val="0"/>
          <w:numId w:val="1"/>
        </w:numPr>
        <w:tabs>
          <w:tab w:val="num" w:pos="709"/>
        </w:tabs>
        <w:spacing w:after="120" w:line="240" w:lineRule="auto"/>
        <w:ind w:left="709" w:hanging="283"/>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Источники зажигания (открытое пламя, искрящиеся предметы и процессы, открытые поверхности предметов, нагреваемые до температуры свыше 45</w:t>
      </w:r>
      <w:r w:rsidRPr="008456B6">
        <w:rPr>
          <w:rFonts w:ascii="Times New Roman" w:eastAsia="Times New Roman" w:hAnsi="Times New Roman" w:cs="Times New Roman"/>
          <w:color w:val="000000"/>
          <w:sz w:val="24"/>
          <w:szCs w:val="24"/>
          <w:vertAlign w:val="superscript"/>
          <w:lang w:eastAsia="ru-RU"/>
        </w:rPr>
        <w:t>О</w:t>
      </w:r>
      <w:r w:rsidRPr="008456B6">
        <w:rPr>
          <w:rFonts w:ascii="Times New Roman" w:eastAsia="Times New Roman" w:hAnsi="Times New Roman" w:cs="Times New Roman"/>
          <w:color w:val="000000"/>
          <w:sz w:val="24"/>
          <w:szCs w:val="24"/>
          <w:lang w:eastAsia="ru-RU"/>
        </w:rPr>
        <w:t>С);</w:t>
      </w:r>
    </w:p>
    <w:p w:rsidR="008456B6" w:rsidRPr="008456B6" w:rsidRDefault="008456B6" w:rsidP="008456B6">
      <w:pPr>
        <w:numPr>
          <w:ilvl w:val="0"/>
          <w:numId w:val="1"/>
        </w:numPr>
        <w:tabs>
          <w:tab w:val="num" w:pos="709"/>
        </w:tabs>
        <w:spacing w:after="120" w:line="240" w:lineRule="auto"/>
        <w:ind w:left="709" w:hanging="283"/>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Микроорганизмы (бактерии, грибки, вирусы), токсины продуктов жизнедеятельности растительных и животных организмов;</w:t>
      </w:r>
    </w:p>
    <w:p w:rsidR="008456B6" w:rsidRPr="008456B6" w:rsidRDefault="008456B6" w:rsidP="008456B6">
      <w:pPr>
        <w:numPr>
          <w:ilvl w:val="0"/>
          <w:numId w:val="1"/>
        </w:numPr>
        <w:tabs>
          <w:tab w:val="num" w:pos="709"/>
        </w:tabs>
        <w:spacing w:after="120" w:line="240" w:lineRule="auto"/>
        <w:ind w:left="709" w:hanging="283"/>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Лазерные установки, способные вызвать повреждение глаз и/или кожи как при воздействии прямого (зеркально отраженного) пучка лучей, так и диффузно (не направленно) отраженного пучка;</w:t>
      </w:r>
    </w:p>
    <w:p w:rsidR="008456B6" w:rsidRPr="008456B6" w:rsidRDefault="008456B6" w:rsidP="008456B6">
      <w:pPr>
        <w:numPr>
          <w:ilvl w:val="0"/>
          <w:numId w:val="1"/>
        </w:numPr>
        <w:tabs>
          <w:tab w:val="num" w:pos="709"/>
        </w:tabs>
        <w:spacing w:after="120" w:line="240" w:lineRule="auto"/>
        <w:ind w:left="709" w:hanging="283"/>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Генераторы звуковых волн инфразвукового и ультразвукового диапазона.</w:t>
      </w:r>
    </w:p>
    <w:p w:rsidR="008456B6" w:rsidRPr="008456B6" w:rsidRDefault="008456B6" w:rsidP="008456B6">
      <w:pPr>
        <w:tabs>
          <w:tab w:val="num" w:pos="0"/>
        </w:tabs>
        <w:spacing w:after="120" w:line="240" w:lineRule="auto"/>
        <w:ind w:firstLine="426"/>
        <w:jc w:val="both"/>
        <w:rPr>
          <w:rFonts w:ascii="Times New Roman" w:eastAsia="Times New Roman" w:hAnsi="Times New Roman" w:cs="Times New Roman"/>
          <w:color w:val="000000"/>
          <w:sz w:val="24"/>
          <w:szCs w:val="24"/>
          <w:lang w:val="x-none" w:eastAsia="ru-RU"/>
        </w:rPr>
      </w:pPr>
      <w:r w:rsidRPr="008456B6">
        <w:rPr>
          <w:rFonts w:ascii="Times New Roman" w:eastAsia="Times New Roman" w:hAnsi="Times New Roman" w:cs="Times New Roman"/>
          <w:color w:val="000000"/>
          <w:sz w:val="24"/>
          <w:szCs w:val="24"/>
          <w:lang w:val="x-none" w:eastAsia="ru-RU"/>
        </w:rPr>
        <w:t>Выставочные экспозиции, удовлетворяющие указанным ограничениям, должны также соответствовать следующим требованиям:</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 xml:space="preserve">1. Требования </w:t>
      </w:r>
      <w:proofErr w:type="spellStart"/>
      <w:r w:rsidRPr="008456B6">
        <w:rPr>
          <w:rFonts w:ascii="Times New Roman" w:eastAsia="Times New Roman" w:hAnsi="Times New Roman" w:cs="Times New Roman"/>
          <w:color w:val="000000"/>
          <w:sz w:val="24"/>
          <w:szCs w:val="24"/>
          <w:lang w:eastAsia="ru-RU"/>
        </w:rPr>
        <w:t>травмобезопасности</w:t>
      </w:r>
      <w:proofErr w:type="spellEnd"/>
      <w:r w:rsidRPr="008456B6">
        <w:rPr>
          <w:rFonts w:ascii="Times New Roman" w:eastAsia="Times New Roman" w:hAnsi="Times New Roman" w:cs="Times New Roman"/>
          <w:color w:val="000000"/>
          <w:sz w:val="24"/>
          <w:szCs w:val="24"/>
          <w:lang w:eastAsia="ru-RU"/>
        </w:rPr>
        <w:t xml:space="preserve"> оборудования</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Соединения несущих конструкций (рам, станин, каркасов) должно выполняться преимущественно с помощью клепки, резьбовых, болтовых или винтовых соединений. Элементы крепления (болты, гайки, винты) не должны выступать за контуры корпуса оборудования. Углы корпусов установок, острее 90</w:t>
      </w:r>
      <w:r w:rsidRPr="008456B6">
        <w:rPr>
          <w:rFonts w:ascii="Times New Roman" w:eastAsia="Times New Roman" w:hAnsi="Times New Roman" w:cs="Times New Roman"/>
          <w:color w:val="000000"/>
          <w:sz w:val="24"/>
          <w:szCs w:val="24"/>
          <w:vertAlign w:val="superscript"/>
          <w:lang w:eastAsia="ru-RU"/>
        </w:rPr>
        <w:t>О</w:t>
      </w:r>
      <w:r w:rsidRPr="008456B6">
        <w:rPr>
          <w:rFonts w:ascii="Times New Roman" w:eastAsia="Times New Roman" w:hAnsi="Times New Roman" w:cs="Times New Roman"/>
          <w:color w:val="000000"/>
          <w:sz w:val="24"/>
          <w:szCs w:val="24"/>
          <w:lang w:eastAsia="ru-RU"/>
        </w:rPr>
        <w:t xml:space="preserve">, должны быть скруглены. Не применять неорганическое стекло (за исключением лабораторного оборудования). В качестве </w:t>
      </w:r>
      <w:r w:rsidRPr="008456B6">
        <w:rPr>
          <w:rFonts w:ascii="Times New Roman" w:eastAsia="Times New Roman" w:hAnsi="Times New Roman" w:cs="Times New Roman"/>
          <w:color w:val="000000"/>
          <w:sz w:val="24"/>
          <w:szCs w:val="24"/>
          <w:lang w:eastAsia="ru-RU"/>
        </w:rPr>
        <w:lastRenderedPageBreak/>
        <w:t xml:space="preserve">конструкционных материалов необходимо использовать пластики,  плексиглас или закаленное, </w:t>
      </w:r>
      <w:proofErr w:type="spellStart"/>
      <w:r w:rsidRPr="008456B6">
        <w:rPr>
          <w:rFonts w:ascii="Times New Roman" w:eastAsia="Times New Roman" w:hAnsi="Times New Roman" w:cs="Times New Roman"/>
          <w:color w:val="000000"/>
          <w:sz w:val="24"/>
          <w:szCs w:val="24"/>
          <w:lang w:eastAsia="ru-RU"/>
        </w:rPr>
        <w:t>травмобезопасное</w:t>
      </w:r>
      <w:proofErr w:type="spellEnd"/>
      <w:r w:rsidRPr="008456B6">
        <w:rPr>
          <w:rFonts w:ascii="Times New Roman" w:eastAsia="Times New Roman" w:hAnsi="Times New Roman" w:cs="Times New Roman"/>
          <w:color w:val="000000"/>
          <w:sz w:val="24"/>
          <w:szCs w:val="24"/>
          <w:lang w:eastAsia="ru-RU"/>
        </w:rPr>
        <w:t xml:space="preserve"> стекло.</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r w:rsidRPr="008456B6">
        <w:rPr>
          <w:rFonts w:ascii="Times New Roman" w:eastAsia="Times New Roman" w:hAnsi="Times New Roman" w:cs="Times New Roman"/>
          <w:color w:val="000000"/>
          <w:sz w:val="24"/>
          <w:szCs w:val="24"/>
          <w:lang w:val="x-none" w:eastAsia="ru-RU"/>
        </w:rPr>
        <w:t>2. Требования к электрическому оборудованию</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Должно быть предусмотрено питание электрического оборудования от однофазной сети с эффективно заземленной </w:t>
      </w:r>
      <w:proofErr w:type="spellStart"/>
      <w:r w:rsidRPr="008456B6">
        <w:rPr>
          <w:rFonts w:ascii="Times New Roman" w:eastAsia="Arial Unicode MS" w:hAnsi="Times New Roman" w:cs="Times New Roman"/>
          <w:color w:val="000000"/>
          <w:sz w:val="24"/>
          <w:szCs w:val="24"/>
          <w:lang w:eastAsia="ru-RU"/>
        </w:rPr>
        <w:t>нейтралью</w:t>
      </w:r>
      <w:proofErr w:type="spellEnd"/>
      <w:r w:rsidRPr="008456B6">
        <w:rPr>
          <w:rFonts w:ascii="Times New Roman" w:eastAsia="Arial Unicode MS" w:hAnsi="Times New Roman" w:cs="Times New Roman"/>
          <w:color w:val="000000"/>
          <w:sz w:val="24"/>
          <w:szCs w:val="24"/>
          <w:lang w:eastAsia="ru-RU"/>
        </w:rPr>
        <w:t xml:space="preserve">, напряжением 220 Вольт переменного тока, частотой 50 Гц. Для питания электрического оборудования должны использоваться провода и кабели фабричного изготовления. Все провода и кабели должны иметь термостойкую и износостойкую изоляцию. Все подключения и ответвления проводов и кабелей выполнять только фабричными электрическими разъемами, переходниками или адаптерами. </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r w:rsidRPr="008456B6">
        <w:rPr>
          <w:rFonts w:ascii="Times New Roman" w:eastAsia="Times New Roman" w:hAnsi="Times New Roman" w:cs="Times New Roman"/>
          <w:color w:val="000000"/>
          <w:sz w:val="24"/>
          <w:szCs w:val="24"/>
          <w:lang w:val="x-none" w:eastAsia="ru-RU"/>
        </w:rPr>
        <w:t xml:space="preserve">Электрические установки должны иметь металлический или пластиковый корпус (кожух). Открытое расположение неизолированных токоведущих частей не допускается. Необходимо выполнить </w:t>
      </w:r>
      <w:proofErr w:type="spellStart"/>
      <w:r w:rsidRPr="008456B6">
        <w:rPr>
          <w:rFonts w:ascii="Times New Roman" w:eastAsia="Times New Roman" w:hAnsi="Times New Roman" w:cs="Times New Roman"/>
          <w:color w:val="000000"/>
          <w:sz w:val="24"/>
          <w:szCs w:val="24"/>
          <w:lang w:val="x-none" w:eastAsia="ru-RU"/>
        </w:rPr>
        <w:t>зануление</w:t>
      </w:r>
      <w:proofErr w:type="spellEnd"/>
      <w:r w:rsidRPr="008456B6">
        <w:rPr>
          <w:rFonts w:ascii="Times New Roman" w:eastAsia="Times New Roman" w:hAnsi="Times New Roman" w:cs="Times New Roman"/>
          <w:color w:val="000000"/>
          <w:sz w:val="24"/>
          <w:szCs w:val="24"/>
          <w:lang w:val="x-none" w:eastAsia="ru-RU"/>
        </w:rPr>
        <w:t xml:space="preserve"> (электрическое соединение с нулевым защитным проводником) металлических частей корпуса оборудования, электродвигателей, механических приводов. Выход защитного проводника установки должен быть подключен к соответствующей контактной площадке стандартной электрической вилки.</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Все электрические соединения должны быть выполнены с помощью пайки. Допускается болтовое присоединение нетоковедущих (нулевых, </w:t>
      </w:r>
      <w:proofErr w:type="spellStart"/>
      <w:r w:rsidRPr="008456B6">
        <w:rPr>
          <w:rFonts w:ascii="Times New Roman" w:eastAsia="Arial Unicode MS" w:hAnsi="Times New Roman" w:cs="Times New Roman"/>
          <w:color w:val="000000"/>
          <w:sz w:val="24"/>
          <w:szCs w:val="24"/>
          <w:lang w:eastAsia="ru-RU"/>
        </w:rPr>
        <w:t>зануляющих</w:t>
      </w:r>
      <w:proofErr w:type="spellEnd"/>
      <w:r w:rsidRPr="008456B6">
        <w:rPr>
          <w:rFonts w:ascii="Times New Roman" w:eastAsia="Arial Unicode MS" w:hAnsi="Times New Roman" w:cs="Times New Roman"/>
          <w:color w:val="000000"/>
          <w:sz w:val="24"/>
          <w:szCs w:val="24"/>
          <w:lang w:eastAsia="ru-RU"/>
        </w:rPr>
        <w:t xml:space="preserve">, заземляющих) шин к металлическим частям оборудования. Все электрические соединения должны быть </w:t>
      </w:r>
      <w:r w:rsidRPr="008456B6">
        <w:rPr>
          <w:rFonts w:ascii="Times New Roman" w:eastAsia="Arial Unicode MS" w:hAnsi="Times New Roman" w:cs="Times New Roman"/>
          <w:color w:val="000000"/>
          <w:spacing w:val="4"/>
          <w:sz w:val="24"/>
          <w:szCs w:val="24"/>
          <w:lang w:eastAsia="ru-RU"/>
        </w:rPr>
        <w:t>заизолированы. Допускается обмотка соединений</w:t>
      </w:r>
      <w:r w:rsidRPr="008456B6">
        <w:rPr>
          <w:rFonts w:ascii="Times New Roman" w:eastAsia="Arial Unicode MS" w:hAnsi="Times New Roman" w:cs="Times New Roman"/>
          <w:color w:val="000000"/>
          <w:sz w:val="24"/>
          <w:szCs w:val="24"/>
          <w:lang w:eastAsia="ru-RU"/>
        </w:rPr>
        <w:t xml:space="preserve"> изоляционной лентой. Для оборудования, работающего в условиях повышенной влажности или непосредственно погружаемого в жидкость, необходима двойная изоляция проводов, кабелей и электрических соединений. Двойная изоляция может осуществляться помещением изолированных проводов, кабелей, электрических соединений внутрь пластиковых трубок, коробов, кожухов.</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Максимальная мощность, потребляемая установкой не должна превышать 250 Ватт. При необходимости использования большей мощности участник должен известить организатора для получения разрешения. В случае использования в установке постоянных токов и/или напряжений свыше 220 Вольт, характер тока и величина напряжения должны быть указаны на этикетках, размещаемых на корпусе вблизи частей оборудования, использующих указанные напряжения и токи.</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3. Требования к лазерным установкам</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r w:rsidRPr="008456B6">
        <w:rPr>
          <w:rFonts w:ascii="Times New Roman" w:eastAsia="Times New Roman" w:hAnsi="Times New Roman" w:cs="Times New Roman"/>
          <w:color w:val="000000"/>
          <w:sz w:val="24"/>
          <w:szCs w:val="24"/>
          <w:lang w:val="x-none" w:eastAsia="ru-RU"/>
        </w:rPr>
        <w:t xml:space="preserve">Допускается применение твердотельных лазеров (включая полупроводниковые) и лазеров на инертных газах (диоксид углерода, азот, гелий, аргон, ксенон, криптон), работающих в непрерывном режиме генерации излучения. Длина волны излучения может составлять от 380 до 1400 </w:t>
      </w:r>
      <w:proofErr w:type="spellStart"/>
      <w:r w:rsidRPr="008456B6">
        <w:rPr>
          <w:rFonts w:ascii="Times New Roman" w:eastAsia="Times New Roman" w:hAnsi="Times New Roman" w:cs="Times New Roman"/>
          <w:color w:val="000000"/>
          <w:sz w:val="24"/>
          <w:szCs w:val="24"/>
          <w:lang w:val="x-none" w:eastAsia="ru-RU"/>
        </w:rPr>
        <w:t>нм</w:t>
      </w:r>
      <w:proofErr w:type="spellEnd"/>
      <w:r w:rsidRPr="008456B6">
        <w:rPr>
          <w:rFonts w:ascii="Times New Roman" w:eastAsia="Times New Roman" w:hAnsi="Times New Roman" w:cs="Times New Roman"/>
          <w:color w:val="000000"/>
          <w:sz w:val="24"/>
          <w:szCs w:val="24"/>
          <w:lang w:val="x-none" w:eastAsia="ru-RU"/>
        </w:rPr>
        <w:t>. Использование жидкостных лазеров и лазеров, работающих в импульсном режиме должно быть согласовано с организаторами.</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Лазерная установка не должна вызывать повреждение глаза и/или кожи при попадании на них прямого (зеркально отраженного) пучка лучей. Допускается применение лазерных установок, излучение которых способно вызвать повреждение сетчатки глаза при попадании прямого (зеркально отраженного) пучка лучей, но безопасно для глаз и кожи при диффузном (не направленном) отражении на расстоянии не менее </w:t>
      </w:r>
      <w:smartTag w:uri="urn:schemas-microsoft-com:office:smarttags" w:element="metricconverter">
        <w:smartTagPr>
          <w:attr w:name="ProductID" w:val="10 см"/>
        </w:smartTagPr>
        <w:r w:rsidRPr="008456B6">
          <w:rPr>
            <w:rFonts w:ascii="Times New Roman" w:eastAsia="Arial Unicode MS" w:hAnsi="Times New Roman" w:cs="Times New Roman"/>
            <w:color w:val="000000"/>
            <w:sz w:val="24"/>
            <w:szCs w:val="24"/>
            <w:lang w:eastAsia="ru-RU"/>
          </w:rPr>
          <w:t>10 см</w:t>
        </w:r>
      </w:smartTag>
      <w:r w:rsidRPr="008456B6">
        <w:rPr>
          <w:rFonts w:ascii="Times New Roman" w:eastAsia="Arial Unicode MS" w:hAnsi="Times New Roman" w:cs="Times New Roman"/>
          <w:color w:val="000000"/>
          <w:sz w:val="24"/>
          <w:szCs w:val="24"/>
          <w:lang w:eastAsia="ru-RU"/>
        </w:rPr>
        <w:t xml:space="preserve"> от отражающей поверхности.</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Конструкция лазерной установки должна предусматривать прикрепление к поверхности стола с помощью болтовых соединений. Используемые в установке зеркала, линзы, призмы, объективы, делители пучков и прочие оптические  и рабочие компоненты также должны иметь болтовое крепление к крышке стола. При необходимости изменения положения </w:t>
      </w:r>
      <w:r w:rsidRPr="008456B6">
        <w:rPr>
          <w:rFonts w:ascii="Times New Roman" w:eastAsia="Arial Unicode MS" w:hAnsi="Times New Roman" w:cs="Times New Roman"/>
          <w:color w:val="000000"/>
          <w:sz w:val="24"/>
          <w:szCs w:val="24"/>
          <w:lang w:eastAsia="ru-RU"/>
        </w:rPr>
        <w:lastRenderedPageBreak/>
        <w:t>оптических компонентов во время демонстрации, в конструкции  установки  необходимо использовать оптическую скамью. Оптические компоненты должны иметь винтовые крепления для фиксации на оптической скамье, а сама оптическая скамья должна крепиться к крышке стола с помощью болтовых соединений. Для ускорения монтажа экспозиции, необходимо заранее выслать в адрес Оргкомитета схему размещения креплений лазерной установки.</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Лазер, используемый в установке, должен иметь защитный корпус (кожух). Корпус должен обеспечивать экранирование от светового, звукового,  электромагнитного излучения системы накачки лазера. Съемный защитный корпус или его части, должны иметь защитную блокировку, предотвращающую включение лазера без защитного корпуса или его части.</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 xml:space="preserve">Лазерная установка должна иметь мишень, являющуюся ограничителем длины лазерного пучка. Дифракционные решетки (за исключением голографических пластин) не могут являться мишенью. Мишень должна иметь защитную диафрагму (бленду). Внутренний диаметр бленды должен быть больше диаметра пучка лучей на мишени, длина бленды должна превышать два внутренних диаметра. Изготавливается бленда из диффузно отражающего материала (темные пластики, </w:t>
      </w:r>
      <w:proofErr w:type="spellStart"/>
      <w:r w:rsidRPr="008456B6">
        <w:rPr>
          <w:rFonts w:ascii="Times New Roman" w:eastAsia="Times New Roman" w:hAnsi="Times New Roman" w:cs="Times New Roman"/>
          <w:color w:val="000000"/>
          <w:sz w:val="24"/>
          <w:szCs w:val="24"/>
          <w:lang w:eastAsia="ru-RU"/>
        </w:rPr>
        <w:t>гетинакс</w:t>
      </w:r>
      <w:proofErr w:type="spellEnd"/>
      <w:r w:rsidRPr="008456B6">
        <w:rPr>
          <w:rFonts w:ascii="Times New Roman" w:eastAsia="Times New Roman" w:hAnsi="Times New Roman" w:cs="Times New Roman"/>
          <w:color w:val="000000"/>
          <w:sz w:val="24"/>
          <w:szCs w:val="24"/>
          <w:lang w:eastAsia="ru-RU"/>
        </w:rPr>
        <w:t>, текстолит).</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Зона распространения лазерного пучка должна быть защищена от случайного попадания любой части тела человека. Желательна передача лазерного пучка по волноводу (оптоволоконному кабелю). Допускается экранирование пространства распространения пучка лучей с помощью экрана или кожуха, изготовленного из плексигласа, алюминия, непрозрачных или прозрачных пластиков. </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4. Требования к химическим веществам (реактивам)</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Химические вещества и реактивы, удовлетворяющие изложенным выше требованиям должны храниться в стеклянных или металлических емкостях с крышками, имеющими возможность фиксации (резьбовую или с помощью защелок). На каждой емкости должна иметься этикетка с точным и четким указанием содержимого в виде общепринятой химической формулы и/или названия вещества на рабочем языке. Аналогичные емкости должны быть приготовлены и для всех образующихся конечных и промежуточных продуктов демонстрируемых химических реакций и/или физических процессов.</w:t>
      </w:r>
    </w:p>
    <w:p w:rsidR="008456B6" w:rsidRPr="008456B6" w:rsidRDefault="008456B6" w:rsidP="008456B6">
      <w:pPr>
        <w:spacing w:after="120" w:line="240" w:lineRule="auto"/>
        <w:ind w:firstLine="426"/>
        <w:jc w:val="both"/>
        <w:rPr>
          <w:rFonts w:ascii="Times New Roman" w:eastAsia="Arial Unicode MS" w:hAnsi="Times New Roman" w:cs="Times New Roman"/>
          <w:i/>
          <w:iCs/>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Выставочная экспозиция должна быть оснащена всем необходимым оборудованием для проведения химических реакций и физических процессов: колбы, реторты, пробирки, трубки, ванны, щипцы, пипетки, резиновые груши, лопатки и ложки для извлечения веществ, палочки для помешивания растворов. </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5. Требования к герметичным (герметизируемым) емкостям</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В составе выставочной экспозиции допускается применение герметичных (или герметизируемых в процессе демонстрации) емкостей, содержащих газовую среду (рабочее тело). </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Газовая среда (рабочее тело) должно представлять собой </w:t>
      </w:r>
      <w:r w:rsidRPr="008456B6">
        <w:rPr>
          <w:rFonts w:ascii="Times New Roman" w:eastAsia="Arial Unicode MS" w:hAnsi="Times New Roman" w:cs="Times New Roman"/>
          <w:color w:val="000000"/>
          <w:spacing w:val="-2"/>
          <w:sz w:val="24"/>
          <w:szCs w:val="24"/>
          <w:lang w:eastAsia="ru-RU"/>
        </w:rPr>
        <w:t>воздух или инертный газ (диоксид углерода, азот, гелий</w:t>
      </w:r>
      <w:r w:rsidRPr="008456B6">
        <w:rPr>
          <w:rFonts w:ascii="Times New Roman" w:eastAsia="Arial Unicode MS" w:hAnsi="Times New Roman" w:cs="Times New Roman"/>
          <w:color w:val="000000"/>
          <w:sz w:val="24"/>
          <w:szCs w:val="24"/>
          <w:lang w:eastAsia="ru-RU"/>
        </w:rPr>
        <w:t>, аргон). Допускается нагрев газа до температуры не более 50</w:t>
      </w:r>
      <w:r w:rsidRPr="008456B6">
        <w:rPr>
          <w:rFonts w:ascii="Times New Roman" w:eastAsia="Arial Unicode MS" w:hAnsi="Times New Roman" w:cs="Times New Roman"/>
          <w:color w:val="000000"/>
          <w:sz w:val="24"/>
          <w:szCs w:val="24"/>
          <w:vertAlign w:val="superscript"/>
          <w:lang w:eastAsia="ru-RU"/>
        </w:rPr>
        <w:t>О</w:t>
      </w:r>
      <w:r w:rsidRPr="008456B6">
        <w:rPr>
          <w:rFonts w:ascii="Times New Roman" w:eastAsia="Arial Unicode MS" w:hAnsi="Times New Roman" w:cs="Times New Roman"/>
          <w:color w:val="000000"/>
          <w:sz w:val="24"/>
          <w:szCs w:val="24"/>
          <w:lang w:eastAsia="ru-RU"/>
        </w:rPr>
        <w:t xml:space="preserve">С. </w:t>
      </w:r>
      <w:proofErr w:type="gramStart"/>
      <w:r w:rsidRPr="008456B6">
        <w:rPr>
          <w:rFonts w:ascii="Times New Roman" w:eastAsia="Arial Unicode MS" w:hAnsi="Times New Roman" w:cs="Times New Roman"/>
          <w:color w:val="000000"/>
          <w:spacing w:val="-2"/>
          <w:sz w:val="24"/>
          <w:szCs w:val="24"/>
          <w:lang w:eastAsia="ru-RU"/>
        </w:rPr>
        <w:t>Максимальное</w:t>
      </w:r>
      <w:r w:rsidRPr="008456B6">
        <w:rPr>
          <w:rFonts w:ascii="Times New Roman" w:eastAsia="Arial Unicode MS" w:hAnsi="Times New Roman" w:cs="Times New Roman"/>
          <w:color w:val="000000"/>
          <w:sz w:val="24"/>
          <w:szCs w:val="24"/>
          <w:lang w:eastAsia="ru-RU"/>
        </w:rPr>
        <w:t xml:space="preserve"> избыточное (относительно  атмосферного) давление  газовой среды в емкости не должно превышать 0,07 МПа.</w:t>
      </w:r>
      <w:proofErr w:type="gramEnd"/>
      <w:r w:rsidRPr="008456B6">
        <w:rPr>
          <w:rFonts w:ascii="Times New Roman" w:eastAsia="Arial Unicode MS" w:hAnsi="Times New Roman" w:cs="Times New Roman"/>
          <w:color w:val="000000"/>
          <w:sz w:val="24"/>
          <w:szCs w:val="24"/>
          <w:lang w:eastAsia="ru-RU"/>
        </w:rPr>
        <w:t xml:space="preserve"> Объем герметичных (герметизируемых) емкостей не должен превышать 0,025 кубического метра.</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Допускается использование герметизируемых ванн и емкостей с водой. Ванны и емкости с водой должны работать только при атмосферном давлении. Использование жидкости в </w:t>
      </w:r>
      <w:r w:rsidRPr="008456B6">
        <w:rPr>
          <w:rFonts w:ascii="Times New Roman" w:eastAsia="Arial Unicode MS" w:hAnsi="Times New Roman" w:cs="Times New Roman"/>
          <w:color w:val="000000"/>
          <w:sz w:val="24"/>
          <w:szCs w:val="24"/>
          <w:lang w:eastAsia="ru-RU"/>
        </w:rPr>
        <w:lastRenderedPageBreak/>
        <w:t>емкостях с избыточным давлением не допускается, за исключением фабрично изготовленных жидкостных амортизаторов и/или гидроприводов.</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eastAsia="ru-RU"/>
        </w:rPr>
      </w:pP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eastAsia="ru-RU"/>
        </w:rPr>
      </w:pPr>
      <w:r w:rsidRPr="008456B6">
        <w:rPr>
          <w:rFonts w:ascii="Times New Roman" w:eastAsia="Times New Roman" w:hAnsi="Times New Roman" w:cs="Times New Roman"/>
          <w:color w:val="000000"/>
          <w:sz w:val="24"/>
          <w:szCs w:val="24"/>
          <w:lang w:eastAsia="ru-RU"/>
        </w:rPr>
        <w:t>6. Требования к источникам звуковых волн</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Источники должны генерировать звуковые волны в воздухе частотой от 20 до 16 000 Гц. </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При использовании электроакустических систем, сирен, ударных генераторов, уровень звука на расстоянии </w:t>
      </w:r>
      <w:smartTag w:uri="urn:schemas-microsoft-com:office:smarttags" w:element="metricconverter">
        <w:smartTagPr>
          <w:attr w:name="ProductID" w:val="1 м"/>
        </w:smartTagPr>
        <w:r w:rsidRPr="008456B6">
          <w:rPr>
            <w:rFonts w:ascii="Times New Roman" w:eastAsia="Arial Unicode MS" w:hAnsi="Times New Roman" w:cs="Times New Roman"/>
            <w:color w:val="000000"/>
            <w:sz w:val="24"/>
            <w:szCs w:val="24"/>
            <w:lang w:eastAsia="ru-RU"/>
          </w:rPr>
          <w:t>1 м</w:t>
        </w:r>
      </w:smartTag>
      <w:r w:rsidRPr="008456B6">
        <w:rPr>
          <w:rFonts w:ascii="Times New Roman" w:eastAsia="Arial Unicode MS" w:hAnsi="Times New Roman" w:cs="Times New Roman"/>
          <w:color w:val="000000"/>
          <w:sz w:val="24"/>
          <w:szCs w:val="24"/>
          <w:lang w:eastAsia="ru-RU"/>
        </w:rPr>
        <w:t xml:space="preserve"> от источника, в условиях высокого внутреннего отражения (гулкое помещение), не должен превышать 50 </w:t>
      </w:r>
      <w:proofErr w:type="spellStart"/>
      <w:r w:rsidRPr="008456B6">
        <w:rPr>
          <w:rFonts w:ascii="Times New Roman" w:eastAsia="Arial Unicode MS" w:hAnsi="Times New Roman" w:cs="Times New Roman"/>
          <w:color w:val="000000"/>
          <w:sz w:val="24"/>
          <w:szCs w:val="24"/>
          <w:lang w:eastAsia="ru-RU"/>
        </w:rPr>
        <w:t>дБА</w:t>
      </w:r>
      <w:proofErr w:type="spellEnd"/>
      <w:r w:rsidRPr="008456B6">
        <w:rPr>
          <w:rFonts w:ascii="Times New Roman" w:eastAsia="Arial Unicode MS" w:hAnsi="Times New Roman" w:cs="Times New Roman"/>
          <w:color w:val="000000"/>
          <w:sz w:val="24"/>
          <w:szCs w:val="24"/>
          <w:lang w:eastAsia="ru-RU"/>
        </w:rPr>
        <w:t xml:space="preserve"> при непрерывном режиме работы, или 75 </w:t>
      </w:r>
      <w:proofErr w:type="spellStart"/>
      <w:r w:rsidRPr="008456B6">
        <w:rPr>
          <w:rFonts w:ascii="Times New Roman" w:eastAsia="Arial Unicode MS" w:hAnsi="Times New Roman" w:cs="Times New Roman"/>
          <w:color w:val="000000"/>
          <w:sz w:val="24"/>
          <w:szCs w:val="24"/>
          <w:lang w:eastAsia="ru-RU"/>
        </w:rPr>
        <w:t>дБА</w:t>
      </w:r>
      <w:proofErr w:type="spellEnd"/>
      <w:r w:rsidRPr="008456B6">
        <w:rPr>
          <w:rFonts w:ascii="Times New Roman" w:eastAsia="Arial Unicode MS" w:hAnsi="Times New Roman" w:cs="Times New Roman"/>
          <w:color w:val="000000"/>
          <w:sz w:val="24"/>
          <w:szCs w:val="24"/>
          <w:lang w:eastAsia="ru-RU"/>
        </w:rPr>
        <w:t xml:space="preserve"> при кратковременном режиме работы.</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 xml:space="preserve">Источники звука, должны иметь звукоизолирующие экраны (кожухи), ограничивающие распространение звука в </w:t>
      </w:r>
      <w:proofErr w:type="gramStart"/>
      <w:r w:rsidRPr="008456B6">
        <w:rPr>
          <w:rFonts w:ascii="Times New Roman" w:eastAsia="Arial Unicode MS" w:hAnsi="Times New Roman" w:cs="Times New Roman"/>
          <w:color w:val="000000"/>
          <w:sz w:val="24"/>
          <w:szCs w:val="24"/>
          <w:lang w:eastAsia="ru-RU"/>
        </w:rPr>
        <w:t>заднем</w:t>
      </w:r>
      <w:proofErr w:type="gramEnd"/>
      <w:r w:rsidRPr="008456B6">
        <w:rPr>
          <w:rFonts w:ascii="Times New Roman" w:eastAsia="Arial Unicode MS" w:hAnsi="Times New Roman" w:cs="Times New Roman"/>
          <w:color w:val="000000"/>
          <w:sz w:val="24"/>
          <w:szCs w:val="24"/>
          <w:lang w:eastAsia="ru-RU"/>
        </w:rPr>
        <w:t xml:space="preserve"> и боковых направлениях. </w:t>
      </w:r>
      <w:proofErr w:type="gramStart"/>
      <w:r w:rsidRPr="008456B6">
        <w:rPr>
          <w:rFonts w:ascii="Times New Roman" w:eastAsia="Arial Unicode MS" w:hAnsi="Times New Roman" w:cs="Times New Roman"/>
          <w:color w:val="000000"/>
          <w:sz w:val="24"/>
          <w:szCs w:val="24"/>
          <w:lang w:eastAsia="ru-RU"/>
        </w:rPr>
        <w:t xml:space="preserve">Экраны (кожухи) должны изготавливаться из металла (сталь, алюминий), или пластика (карболит, текстолит, оргстекло толщиной не менее </w:t>
      </w:r>
      <w:smartTag w:uri="urn:schemas-microsoft-com:office:smarttags" w:element="metricconverter">
        <w:smartTagPr>
          <w:attr w:name="ProductID" w:val="5 мм"/>
        </w:smartTagPr>
        <w:r w:rsidRPr="008456B6">
          <w:rPr>
            <w:rFonts w:ascii="Times New Roman" w:eastAsia="Arial Unicode MS" w:hAnsi="Times New Roman" w:cs="Times New Roman"/>
            <w:color w:val="000000"/>
            <w:sz w:val="24"/>
            <w:szCs w:val="24"/>
            <w:lang w:eastAsia="ru-RU"/>
          </w:rPr>
          <w:t>5 мм</w:t>
        </w:r>
      </w:smartTag>
      <w:r w:rsidRPr="008456B6">
        <w:rPr>
          <w:rFonts w:ascii="Times New Roman" w:eastAsia="Arial Unicode MS" w:hAnsi="Times New Roman" w:cs="Times New Roman"/>
          <w:color w:val="000000"/>
          <w:sz w:val="24"/>
          <w:szCs w:val="24"/>
          <w:lang w:eastAsia="ru-RU"/>
        </w:rPr>
        <w:t>).</w:t>
      </w:r>
      <w:proofErr w:type="gramEnd"/>
      <w:r w:rsidRPr="008456B6">
        <w:rPr>
          <w:rFonts w:ascii="Times New Roman" w:eastAsia="Arial Unicode MS" w:hAnsi="Times New Roman" w:cs="Times New Roman"/>
          <w:color w:val="000000"/>
          <w:sz w:val="24"/>
          <w:szCs w:val="24"/>
          <w:lang w:eastAsia="ru-RU"/>
        </w:rPr>
        <w:t xml:space="preserve"> Электроакустические источники звука должны иметь регулятор громкости (уровня выходного сигнала), обеспечивающий, в том числе и полное отключение источника.</w:t>
      </w: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p>
    <w:p w:rsidR="008456B6" w:rsidRPr="008456B6" w:rsidRDefault="008456B6" w:rsidP="008456B6">
      <w:pPr>
        <w:spacing w:after="120" w:line="240" w:lineRule="auto"/>
        <w:ind w:firstLine="426"/>
        <w:jc w:val="both"/>
        <w:rPr>
          <w:rFonts w:ascii="Times New Roman" w:eastAsia="Arial Unicode MS" w:hAnsi="Times New Roman" w:cs="Times New Roman"/>
          <w:color w:val="000000"/>
          <w:sz w:val="24"/>
          <w:szCs w:val="24"/>
          <w:lang w:eastAsia="ru-RU"/>
        </w:rPr>
      </w:pPr>
      <w:r w:rsidRPr="008456B6">
        <w:rPr>
          <w:rFonts w:ascii="Times New Roman" w:eastAsia="Arial Unicode MS" w:hAnsi="Times New Roman" w:cs="Times New Roman"/>
          <w:color w:val="000000"/>
          <w:sz w:val="24"/>
          <w:szCs w:val="24"/>
          <w:lang w:eastAsia="ru-RU"/>
        </w:rPr>
        <w:t>7. Требования к источникам неионизирующих излучений и физических полей</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r w:rsidRPr="008456B6">
        <w:rPr>
          <w:rFonts w:ascii="Times New Roman" w:eastAsia="Times New Roman" w:hAnsi="Times New Roman" w:cs="Times New Roman"/>
          <w:color w:val="000000"/>
          <w:sz w:val="24"/>
          <w:szCs w:val="24"/>
          <w:lang w:val="x-none" w:eastAsia="ru-RU"/>
        </w:rPr>
        <w:t xml:space="preserve">Допускается использование источников электромагнитных полей. Мощность излучения источника электромагнитных полей диапазона радиоволн от 300 МГЦ до 3000 МГЦ  не должна превышать 0,6 Вт. Источники электромагнитных полей прочих диапазонов не должны создавать помех в работе средств сотовой связи, компьютеров, на расстоянии </w:t>
      </w:r>
      <w:smartTag w:uri="urn:schemas-microsoft-com:office:smarttags" w:element="metricconverter">
        <w:smartTagPr>
          <w:attr w:name="ProductID" w:val="1 м"/>
        </w:smartTagPr>
        <w:r w:rsidRPr="008456B6">
          <w:rPr>
            <w:rFonts w:ascii="Times New Roman" w:eastAsia="Times New Roman" w:hAnsi="Times New Roman" w:cs="Times New Roman"/>
            <w:color w:val="000000"/>
            <w:sz w:val="24"/>
            <w:szCs w:val="24"/>
            <w:lang w:val="x-none" w:eastAsia="ru-RU"/>
          </w:rPr>
          <w:t>1 м</w:t>
        </w:r>
      </w:smartTag>
      <w:r w:rsidRPr="008456B6">
        <w:rPr>
          <w:rFonts w:ascii="Times New Roman" w:eastAsia="Times New Roman" w:hAnsi="Times New Roman" w:cs="Times New Roman"/>
          <w:color w:val="000000"/>
          <w:sz w:val="24"/>
          <w:szCs w:val="24"/>
          <w:lang w:val="x-none" w:eastAsia="ru-RU"/>
        </w:rPr>
        <w:t xml:space="preserve"> и более.</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r w:rsidRPr="008456B6">
        <w:rPr>
          <w:rFonts w:ascii="Times New Roman" w:eastAsia="Times New Roman" w:hAnsi="Times New Roman" w:cs="Times New Roman"/>
          <w:color w:val="000000"/>
          <w:sz w:val="24"/>
          <w:szCs w:val="24"/>
          <w:lang w:val="x-none" w:eastAsia="ru-RU"/>
        </w:rPr>
        <w:t>Допускается применение источников электростатического и постоянного магнитного полей. Потенциал, используемый для создания электростатического поля не должен превышать 100 В.</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r w:rsidRPr="008456B6">
        <w:rPr>
          <w:rFonts w:ascii="Times New Roman" w:eastAsia="Times New Roman" w:hAnsi="Times New Roman" w:cs="Times New Roman"/>
          <w:color w:val="000000"/>
          <w:sz w:val="24"/>
          <w:szCs w:val="24"/>
          <w:lang w:val="x-none" w:eastAsia="ru-RU"/>
        </w:rPr>
        <w:t>8. Требования к мобильным устройствам и роботам.</w:t>
      </w:r>
    </w:p>
    <w:p w:rsidR="008456B6" w:rsidRPr="008456B6" w:rsidRDefault="008456B6" w:rsidP="008456B6">
      <w:pPr>
        <w:spacing w:after="120" w:line="240" w:lineRule="auto"/>
        <w:ind w:firstLine="426"/>
        <w:jc w:val="both"/>
        <w:rPr>
          <w:rFonts w:ascii="Times New Roman" w:eastAsia="Times New Roman" w:hAnsi="Times New Roman" w:cs="Times New Roman"/>
          <w:color w:val="000000"/>
          <w:sz w:val="24"/>
          <w:szCs w:val="24"/>
          <w:lang w:val="x-none" w:eastAsia="ru-RU"/>
        </w:rPr>
      </w:pPr>
      <w:r w:rsidRPr="008456B6">
        <w:rPr>
          <w:rFonts w:ascii="Times New Roman" w:eastAsia="Times New Roman" w:hAnsi="Times New Roman" w:cs="Times New Roman"/>
          <w:color w:val="000000"/>
          <w:sz w:val="24"/>
          <w:szCs w:val="24"/>
          <w:lang w:val="x-none" w:eastAsia="ru-RU"/>
        </w:rPr>
        <w:t>Разрешается использование в составе выставочных экспозиций мобильных и стационарных роботов (</w:t>
      </w:r>
      <w:proofErr w:type="spellStart"/>
      <w:r w:rsidRPr="008456B6">
        <w:rPr>
          <w:rFonts w:ascii="Times New Roman" w:eastAsia="Times New Roman" w:hAnsi="Times New Roman" w:cs="Times New Roman"/>
          <w:color w:val="000000"/>
          <w:sz w:val="24"/>
          <w:szCs w:val="24"/>
          <w:lang w:val="x-none" w:eastAsia="ru-RU"/>
        </w:rPr>
        <w:t>андроидов</w:t>
      </w:r>
      <w:proofErr w:type="spellEnd"/>
      <w:r w:rsidRPr="008456B6">
        <w:rPr>
          <w:rFonts w:ascii="Times New Roman" w:eastAsia="Times New Roman" w:hAnsi="Times New Roman" w:cs="Times New Roman"/>
          <w:color w:val="000000"/>
          <w:sz w:val="24"/>
          <w:szCs w:val="24"/>
          <w:lang w:val="x-none" w:eastAsia="ru-RU"/>
        </w:rPr>
        <w:t>, манипуляторов). Перемещение мобильных роботов должно быть ограничено пространством выставочного стенда. Манипуляторы и роботы, не оснащенные системой предотвращения столкновений должны иметь ограничители траектории (концевые выключатели, блокировочные тормоза, механические упоры).</w:t>
      </w:r>
    </w:p>
    <w:p w:rsidR="008456B6" w:rsidRPr="008456B6" w:rsidRDefault="008456B6" w:rsidP="008456B6">
      <w:pPr>
        <w:widowControl w:val="0"/>
        <w:spacing w:after="120" w:line="240" w:lineRule="auto"/>
        <w:ind w:right="-54" w:firstLine="426"/>
        <w:jc w:val="both"/>
        <w:rPr>
          <w:rFonts w:ascii="Times New Roman" w:eastAsia="Times New Roman" w:hAnsi="Times New Roman" w:cs="Times New Roman"/>
          <w:snapToGrid w:val="0"/>
          <w:color w:val="000000"/>
          <w:sz w:val="24"/>
          <w:szCs w:val="24"/>
          <w:lang w:eastAsia="ru-RU"/>
        </w:rPr>
      </w:pPr>
      <w:r w:rsidRPr="008456B6">
        <w:rPr>
          <w:rFonts w:ascii="Times New Roman" w:eastAsia="Times New Roman" w:hAnsi="Times New Roman" w:cs="Times New Roman"/>
          <w:snapToGrid w:val="0"/>
          <w:color w:val="000000"/>
          <w:sz w:val="24"/>
          <w:szCs w:val="24"/>
          <w:lang w:eastAsia="ru-RU"/>
        </w:rPr>
        <w:t>Требования к роботам-</w:t>
      </w:r>
      <w:proofErr w:type="spellStart"/>
      <w:r w:rsidRPr="008456B6">
        <w:rPr>
          <w:rFonts w:ascii="Times New Roman" w:eastAsia="Times New Roman" w:hAnsi="Times New Roman" w:cs="Times New Roman"/>
          <w:snapToGrid w:val="0"/>
          <w:color w:val="000000"/>
          <w:sz w:val="24"/>
          <w:szCs w:val="24"/>
          <w:lang w:eastAsia="ru-RU"/>
        </w:rPr>
        <w:t>андроидам</w:t>
      </w:r>
      <w:proofErr w:type="spellEnd"/>
      <w:r w:rsidRPr="008456B6">
        <w:rPr>
          <w:rFonts w:ascii="Times New Roman" w:eastAsia="Times New Roman" w:hAnsi="Times New Roman" w:cs="Times New Roman"/>
          <w:snapToGrid w:val="0"/>
          <w:color w:val="000000"/>
          <w:sz w:val="24"/>
          <w:szCs w:val="24"/>
          <w:lang w:eastAsia="ru-RU"/>
        </w:rPr>
        <w:t xml:space="preserve">: высота от 20 до </w:t>
      </w:r>
      <w:smartTag w:uri="urn:schemas-microsoft-com:office:smarttags" w:element="metricconverter">
        <w:smartTagPr>
          <w:attr w:name="ProductID" w:val="120 см"/>
        </w:smartTagPr>
        <w:r w:rsidRPr="008456B6">
          <w:rPr>
            <w:rFonts w:ascii="Times New Roman" w:eastAsia="Times New Roman" w:hAnsi="Times New Roman" w:cs="Times New Roman"/>
            <w:snapToGrid w:val="0"/>
            <w:color w:val="000000"/>
            <w:sz w:val="24"/>
            <w:szCs w:val="24"/>
            <w:lang w:eastAsia="ru-RU"/>
          </w:rPr>
          <w:t>120 см</w:t>
        </w:r>
      </w:smartTag>
      <w:r w:rsidRPr="008456B6">
        <w:rPr>
          <w:rFonts w:ascii="Times New Roman" w:eastAsia="Times New Roman" w:hAnsi="Times New Roman" w:cs="Times New Roman"/>
          <w:snapToGrid w:val="0"/>
          <w:color w:val="000000"/>
          <w:sz w:val="24"/>
          <w:szCs w:val="24"/>
          <w:lang w:eastAsia="ru-RU"/>
        </w:rPr>
        <w:t xml:space="preserve">; требования к мобильным роботам: масса до </w:t>
      </w:r>
      <w:smartTag w:uri="urn:schemas-microsoft-com:office:smarttags" w:element="metricconverter">
        <w:smartTagPr>
          <w:attr w:name="ProductID" w:val="7 кг"/>
        </w:smartTagPr>
        <w:r w:rsidRPr="008456B6">
          <w:rPr>
            <w:rFonts w:ascii="Times New Roman" w:eastAsia="Times New Roman" w:hAnsi="Times New Roman" w:cs="Times New Roman"/>
            <w:snapToGrid w:val="0"/>
            <w:color w:val="000000"/>
            <w:sz w:val="24"/>
            <w:szCs w:val="24"/>
            <w:lang w:eastAsia="ru-RU"/>
          </w:rPr>
          <w:t>7 кг</w:t>
        </w:r>
      </w:smartTag>
      <w:r w:rsidRPr="008456B6">
        <w:rPr>
          <w:rFonts w:ascii="Times New Roman" w:eastAsia="Times New Roman" w:hAnsi="Times New Roman" w:cs="Times New Roman"/>
          <w:snapToGrid w:val="0"/>
          <w:color w:val="000000"/>
          <w:sz w:val="24"/>
          <w:szCs w:val="24"/>
          <w:lang w:eastAsia="ru-RU"/>
        </w:rPr>
        <w:t xml:space="preserve">, размеры не более 30 на </w:t>
      </w:r>
      <w:smartTag w:uri="urn:schemas-microsoft-com:office:smarttags" w:element="metricconverter">
        <w:smartTagPr>
          <w:attr w:name="ProductID" w:val="40 см"/>
        </w:smartTagPr>
        <w:r w:rsidRPr="008456B6">
          <w:rPr>
            <w:rFonts w:ascii="Times New Roman" w:eastAsia="Times New Roman" w:hAnsi="Times New Roman" w:cs="Times New Roman"/>
            <w:snapToGrid w:val="0"/>
            <w:color w:val="000000"/>
            <w:sz w:val="24"/>
            <w:szCs w:val="24"/>
            <w:lang w:eastAsia="ru-RU"/>
          </w:rPr>
          <w:t>40 см</w:t>
        </w:r>
      </w:smartTag>
      <w:r w:rsidRPr="008456B6">
        <w:rPr>
          <w:rFonts w:ascii="Times New Roman" w:eastAsia="Times New Roman" w:hAnsi="Times New Roman" w:cs="Times New Roman"/>
          <w:snapToGrid w:val="0"/>
          <w:color w:val="000000"/>
          <w:sz w:val="24"/>
          <w:szCs w:val="24"/>
          <w:lang w:eastAsia="ru-RU"/>
        </w:rPr>
        <w:t>. Превышение параметров должно быть согласовано с организаторами.</w:t>
      </w:r>
    </w:p>
    <w:p w:rsidR="008456B6" w:rsidRPr="008456B6" w:rsidRDefault="008456B6" w:rsidP="008456B6">
      <w:pPr>
        <w:widowControl w:val="0"/>
        <w:spacing w:after="120" w:line="240" w:lineRule="auto"/>
        <w:ind w:right="-54"/>
        <w:jc w:val="both"/>
        <w:rPr>
          <w:rFonts w:ascii="Times New Roman" w:eastAsia="Times New Roman" w:hAnsi="Times New Roman" w:cs="Times New Roman"/>
          <w:snapToGrid w:val="0"/>
          <w:color w:val="000000"/>
          <w:sz w:val="24"/>
          <w:szCs w:val="24"/>
          <w:lang w:eastAsia="ru-RU"/>
        </w:rPr>
      </w:pPr>
    </w:p>
    <w:p w:rsidR="008456B6" w:rsidRPr="008456B6" w:rsidRDefault="008456B6" w:rsidP="008456B6">
      <w:pPr>
        <w:spacing w:after="120" w:line="240" w:lineRule="auto"/>
        <w:rPr>
          <w:rFonts w:ascii="Times New Roman" w:eastAsia="Times New Roman" w:hAnsi="Times New Roman" w:cs="Times New Roman"/>
          <w:sz w:val="24"/>
          <w:szCs w:val="24"/>
          <w:lang w:eastAsia="ru-RU"/>
        </w:rPr>
      </w:pPr>
    </w:p>
    <w:p w:rsidR="00A4335C" w:rsidRDefault="00A4335C"/>
    <w:sectPr w:rsidR="00A4335C" w:rsidSect="000022EC">
      <w:headerReference w:type="default" r:id="rId6"/>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5A" w:rsidRPr="00F9685A" w:rsidRDefault="008456B6">
    <w:pPr>
      <w:pStyle w:val="a3"/>
      <w:jc w:val="center"/>
      <w:rPr>
        <w:sz w:val="22"/>
      </w:rPr>
    </w:pPr>
    <w:r w:rsidRPr="00F9685A">
      <w:rPr>
        <w:sz w:val="22"/>
      </w:rPr>
      <w:fldChar w:fldCharType="begin"/>
    </w:r>
    <w:r w:rsidRPr="00F9685A">
      <w:rPr>
        <w:sz w:val="22"/>
      </w:rPr>
      <w:instrText>PAGE   \* MERGEFORMAT</w:instrText>
    </w:r>
    <w:r w:rsidRPr="00F9685A">
      <w:rPr>
        <w:sz w:val="22"/>
      </w:rPr>
      <w:fldChar w:fldCharType="separate"/>
    </w:r>
    <w:r>
      <w:rPr>
        <w:noProof/>
        <w:sz w:val="22"/>
      </w:rPr>
      <w:t>4</w:t>
    </w:r>
    <w:r w:rsidRPr="00F9685A">
      <w:rPr>
        <w:sz w:val="22"/>
      </w:rPr>
      <w:fldChar w:fldCharType="end"/>
    </w:r>
  </w:p>
  <w:p w:rsidR="00F9685A" w:rsidRDefault="008456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858A8"/>
    <w:multiLevelType w:val="hybridMultilevel"/>
    <w:tmpl w:val="4AC6FEF8"/>
    <w:lvl w:ilvl="0" w:tplc="71121D6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D9"/>
    <w:rsid w:val="008456B6"/>
    <w:rsid w:val="00A4335C"/>
    <w:rsid w:val="00E53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6B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8456B6"/>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6B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8456B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1779</Words>
  <Characters>10144</Characters>
  <Application>Microsoft Office Word</Application>
  <DocSecurity>0</DocSecurity>
  <Lines>84</Lines>
  <Paragraphs>23</Paragraphs>
  <ScaleCrop>false</ScaleCrop>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super</cp:lastModifiedBy>
  <cp:revision>2</cp:revision>
  <dcterms:created xsi:type="dcterms:W3CDTF">2021-11-05T04:29:00Z</dcterms:created>
  <dcterms:modified xsi:type="dcterms:W3CDTF">2021-11-05T04:30:00Z</dcterms:modified>
</cp:coreProperties>
</file>